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456"/>
        <w:gridCol w:w="2947"/>
        <w:gridCol w:w="7229"/>
      </w:tblGrid>
      <w:tr w:rsidR="002A3F96" w:rsidRPr="00756E7B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қызметтің атауы</w:t>
            </w:r>
          </w:p>
        </w:tc>
        <w:tc>
          <w:tcPr>
            <w:tcW w:w="7229" w:type="dxa"/>
          </w:tcPr>
          <w:p w:rsidR="002A3F96" w:rsidRPr="00A75603" w:rsidRDefault="00A75603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</w:t>
            </w:r>
          </w:p>
        </w:tc>
      </w:tr>
      <w:tr w:rsidR="002A3F96" w:rsidRPr="0056554E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7229" w:type="dxa"/>
          </w:tcPr>
          <w:p w:rsidR="00A75603" w:rsidRPr="00756E7B" w:rsidRDefault="00A75603" w:rsidP="0056554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білім беру ұйымдары, бастауыш, негізгі орта , жалпы орта білім беру ұйымдары</w:t>
            </w:r>
          </w:p>
        </w:tc>
      </w:tr>
      <w:tr w:rsidR="002A3F96" w:rsidRPr="00756E7B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алушылар</w:t>
            </w:r>
          </w:p>
        </w:tc>
        <w:tc>
          <w:tcPr>
            <w:tcW w:w="7229" w:type="dxa"/>
          </w:tcPr>
          <w:p w:rsidR="002A3F96" w:rsidRPr="00756E7B" w:rsidRDefault="00A613D9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тұлғалар</w:t>
            </w:r>
          </w:p>
        </w:tc>
      </w:tr>
      <w:tr w:rsidR="002A3F96" w:rsidRPr="00756E7B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нысаны</w:t>
            </w:r>
          </w:p>
        </w:tc>
        <w:tc>
          <w:tcPr>
            <w:tcW w:w="7229" w:type="dxa"/>
          </w:tcPr>
          <w:p w:rsidR="002A3F96" w:rsidRPr="00756E7B" w:rsidRDefault="00C11F72" w:rsidP="0056554E">
            <w:pPr>
              <w:pStyle w:val="a8"/>
              <w:keepNext/>
              <w:keepLines/>
              <w:spacing w:before="0" w:beforeAutospacing="0" w:after="0" w:afterAutospacing="0"/>
              <w:jc w:val="both"/>
            </w:pPr>
            <w:proofErr w:type="spellStart"/>
            <w:r w:rsidRPr="00C11F72">
              <w:t>қағаз</w:t>
            </w:r>
            <w:proofErr w:type="spellEnd"/>
            <w:r w:rsidRPr="00C11F72">
              <w:t xml:space="preserve"> </w:t>
            </w:r>
            <w:proofErr w:type="spellStart"/>
            <w:r w:rsidRPr="00C11F72">
              <w:t>тү</w:t>
            </w:r>
            <w:proofErr w:type="gramStart"/>
            <w:r w:rsidRPr="00C11F72">
              <w:t>р</w:t>
            </w:r>
            <w:proofErr w:type="gramEnd"/>
            <w:r w:rsidRPr="00C11F72">
              <w:t>інде</w:t>
            </w:r>
            <w:proofErr w:type="spellEnd"/>
          </w:p>
        </w:tc>
      </w:tr>
      <w:tr w:rsidR="002A3F96" w:rsidRPr="00756E7B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орыны</w:t>
            </w:r>
          </w:p>
        </w:tc>
        <w:tc>
          <w:tcPr>
            <w:tcW w:w="7229" w:type="dxa"/>
          </w:tcPr>
          <w:p w:rsidR="00A75603" w:rsidRPr="00756E7B" w:rsidRDefault="00E443C2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қызметті мемлекеттік көрсетілетін қызмет стандартының №1 қосымшасына сәйкес  арнайы (түзету) білім беру мекемелері көрсетеді</w:t>
            </w:r>
          </w:p>
        </w:tc>
      </w:tr>
      <w:tr w:rsidR="002A3F96" w:rsidRPr="0056554E" w:rsidTr="0056554E">
        <w:tc>
          <w:tcPr>
            <w:tcW w:w="456" w:type="dxa"/>
          </w:tcPr>
          <w:p w:rsidR="002A3F96" w:rsidRPr="00756E7B" w:rsidRDefault="002A3F96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7" w:type="dxa"/>
          </w:tcPr>
          <w:p w:rsidR="002A3F96" w:rsidRPr="00756E7B" w:rsidRDefault="003C775C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тәртібі</w:t>
            </w:r>
          </w:p>
        </w:tc>
        <w:tc>
          <w:tcPr>
            <w:tcW w:w="7229" w:type="dxa"/>
          </w:tcPr>
          <w:p w:rsidR="002A3F96" w:rsidRPr="000C3810" w:rsidRDefault="00E443C2" w:rsidP="0056554E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құжаттарды тапсырған жағдайда, мемлекеттік қызмет көрсету үшін қызмет алушыға осы стандарттың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 w:rsidRPr="00DB0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қосымшасына сәйкес өтінішті қабылдау нөмірі мен күні, қолхат беруші жауапты қызметкердің тегі, аты, әкесінің атын көрсете отырып, құжаттардың алынғаны жөнінде қызметті алу күні көрсетілген қолхат беріледі</w:t>
            </w:r>
          </w:p>
        </w:tc>
      </w:tr>
      <w:tr w:rsidR="0043320F" w:rsidRPr="00A75603" w:rsidTr="0056554E">
        <w:tc>
          <w:tcPr>
            <w:tcW w:w="456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7" w:type="dxa"/>
          </w:tcPr>
          <w:p w:rsidR="00E443C2" w:rsidRPr="00756E7B" w:rsidRDefault="0043320F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</w:t>
            </w:r>
          </w:p>
        </w:tc>
        <w:tc>
          <w:tcPr>
            <w:tcW w:w="7229" w:type="dxa"/>
          </w:tcPr>
          <w:p w:rsidR="00E443C2" w:rsidRPr="002F58EC" w:rsidRDefault="00E443C2" w:rsidP="0056554E">
            <w:pPr>
              <w:pStyle w:val="a5"/>
              <w:keepNext/>
              <w:keepLine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</w:t>
            </w:r>
            <w:r w:rsidR="00565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консультация (ПМПК)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жолдамасы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4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қабылдау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еркін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үлгіде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4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туу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куәліктің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54E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565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3C2" w:rsidRPr="005B4CF3" w:rsidRDefault="00E443C2" w:rsidP="0056554E">
            <w:pPr>
              <w:pStyle w:val="a5"/>
              <w:keepNext/>
              <w:keepLines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58EC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алушының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аттестаттаудан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өткенін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куәләндыратын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тиі</w:t>
            </w:r>
            <w:proofErr w:type="gramStart"/>
            <w:r w:rsidRPr="002F58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2F58E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деңгейі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жалпыға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стандартты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меңгергенін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2F5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8EC">
              <w:rPr>
                <w:rFonts w:ascii="Times New Roman" w:hAnsi="Times New Roman"/>
                <w:sz w:val="24"/>
                <w:szCs w:val="24"/>
              </w:rPr>
              <w:t>үл</w:t>
            </w:r>
            <w:r>
              <w:rPr>
                <w:rFonts w:ascii="Times New Roman" w:hAnsi="Times New Roman"/>
                <w:sz w:val="24"/>
                <w:szCs w:val="24"/>
              </w:rPr>
              <w:t>гідегі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аттестат)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54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екпе паспорты;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6)</w:t>
            </w:r>
            <w:r w:rsidR="00565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3x4 көлеміндегі 2 фотосурет;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7)</w:t>
            </w:r>
            <w:r w:rsidR="00565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пәтер құжатының көшірмесі;</w:t>
            </w:r>
          </w:p>
          <w:p w:rsidR="00E443C2" w:rsidRPr="0056554E" w:rsidRDefault="00E443C2" w:rsidP="0056554E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554E">
              <w:rPr>
                <w:rFonts w:ascii="Times New Roman" w:hAnsi="Times New Roman"/>
                <w:sz w:val="24"/>
                <w:szCs w:val="24"/>
                <w:lang w:val="kk-KZ"/>
              </w:rPr>
              <w:t>8) медициналық анықтама;</w:t>
            </w:r>
          </w:p>
          <w:p w:rsidR="00163D38" w:rsidRPr="00163D38" w:rsidRDefault="00E443C2" w:rsidP="0056554E">
            <w:pPr>
              <w:pStyle w:val="a5"/>
              <w:keepNext/>
              <w:keepLine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961738">
              <w:rPr>
                <w:rFonts w:ascii="Times New Roman" w:hAnsi="Times New Roman"/>
                <w:sz w:val="24"/>
                <w:szCs w:val="24"/>
                <w:lang w:val="kk-KZ"/>
              </w:rPr>
              <w:t>) жылдың ортасында бір мектептен басқа мектепке ауысқан жағдайда мектептің мөрімен расталған және қол қойылған бағалар ведомосы мен мектептің психологиялық - медициналық - педагогикалық консилиумының шешімі (мамандардың жалпы пікірі)</w:t>
            </w:r>
          </w:p>
        </w:tc>
      </w:tr>
      <w:tr w:rsidR="0043320F" w:rsidRPr="00756E7B" w:rsidTr="0056554E">
        <w:tc>
          <w:tcPr>
            <w:tcW w:w="456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47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бағасы және төлеу тәртібі</w:t>
            </w:r>
          </w:p>
        </w:tc>
        <w:tc>
          <w:tcPr>
            <w:tcW w:w="7229" w:type="dxa"/>
          </w:tcPr>
          <w:p w:rsidR="0043320F" w:rsidRPr="00A33B1C" w:rsidRDefault="00163D38" w:rsidP="0056554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тегін</w:t>
            </w:r>
          </w:p>
        </w:tc>
      </w:tr>
      <w:tr w:rsidR="0043320F" w:rsidRPr="00A75603" w:rsidTr="0056554E">
        <w:tc>
          <w:tcPr>
            <w:tcW w:w="456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7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мерзімі</w:t>
            </w:r>
          </w:p>
        </w:tc>
        <w:tc>
          <w:tcPr>
            <w:tcW w:w="7229" w:type="dxa"/>
          </w:tcPr>
          <w:p w:rsidR="002B0CDE" w:rsidRPr="00A33B1C" w:rsidRDefault="002B0CDE" w:rsidP="0056554E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 құжаттар топтамасын тапсырған сәттен  бастап 30 тамыздан кешіктірілмей.</w:t>
            </w:r>
            <w:r w:rsidR="00565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Көрсетілетін қызметті алушының көрсетілетін қызметті  берушіге құжаттар топтамасын тапсыруы үшін күтудің рұқсат етілген ең ұзақ уақыты мен  көрсетілетін қызметті алушыға қызмет көрсетудің рұқсат етілген ең ұзақ уақыты -15 минуттан аспайды</w:t>
            </w:r>
          </w:p>
        </w:tc>
      </w:tr>
      <w:tr w:rsidR="0043320F" w:rsidRPr="0056554E" w:rsidTr="0056554E">
        <w:tc>
          <w:tcPr>
            <w:tcW w:w="456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47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нәтижесі</w:t>
            </w:r>
          </w:p>
        </w:tc>
        <w:tc>
          <w:tcPr>
            <w:tcW w:w="7229" w:type="dxa"/>
          </w:tcPr>
          <w:p w:rsidR="0043320F" w:rsidRPr="0056554E" w:rsidRDefault="004E25A6" w:rsidP="0056554E">
            <w:pPr>
              <w:keepNext/>
              <w:keepLines/>
              <w:jc w:val="both"/>
              <w:rPr>
                <w:sz w:val="28"/>
                <w:szCs w:val="28"/>
                <w:lang w:val="kk-KZ"/>
              </w:rPr>
            </w:pPr>
            <w:r w:rsidRPr="004E2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қызмет көрсетудің нәтижесі: арнайы білім беру ұйымына немесе бастауыш, негізгі орта , жалпы орта білім беру ұйымдарына қабылданғаны туралы бұйрық ( немесе берілмеуі туралы жолдама)</w:t>
            </w:r>
          </w:p>
        </w:tc>
      </w:tr>
      <w:tr w:rsidR="0043320F" w:rsidRPr="0056554E" w:rsidTr="0056554E">
        <w:tc>
          <w:tcPr>
            <w:tcW w:w="456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47" w:type="dxa"/>
          </w:tcPr>
          <w:p w:rsidR="0043320F" w:rsidRPr="00756E7B" w:rsidRDefault="0043320F" w:rsidP="0056554E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 құқықтық актілер</w:t>
            </w:r>
          </w:p>
        </w:tc>
        <w:tc>
          <w:tcPr>
            <w:tcW w:w="7229" w:type="dxa"/>
          </w:tcPr>
          <w:p w:rsidR="00AC30EE" w:rsidRPr="00A33B1C" w:rsidRDefault="00266FFB" w:rsidP="0056554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«Білім туралы», «Мемлекеттік көрсетілетін қызметтер туралы» Заңдары</w:t>
            </w:r>
            <w:bookmarkStart w:id="0" w:name="_GoBack"/>
            <w:bookmarkEnd w:id="0"/>
          </w:p>
        </w:tc>
      </w:tr>
    </w:tbl>
    <w:p w:rsidR="00CF0948" w:rsidRPr="00756E7B" w:rsidRDefault="00CF0948" w:rsidP="00AC551C">
      <w:pPr>
        <w:keepNext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0948" w:rsidRPr="00756E7B" w:rsidSect="00F7082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76A7E"/>
    <w:multiLevelType w:val="hybridMultilevel"/>
    <w:tmpl w:val="77B24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1"/>
    <w:rsid w:val="00051D19"/>
    <w:rsid w:val="000B62C3"/>
    <w:rsid w:val="000C3810"/>
    <w:rsid w:val="00163D38"/>
    <w:rsid w:val="00244C1B"/>
    <w:rsid w:val="002475C0"/>
    <w:rsid w:val="00266FFB"/>
    <w:rsid w:val="00287A9F"/>
    <w:rsid w:val="002A3F96"/>
    <w:rsid w:val="002B0CDE"/>
    <w:rsid w:val="00350593"/>
    <w:rsid w:val="003C775C"/>
    <w:rsid w:val="0043320F"/>
    <w:rsid w:val="004405EF"/>
    <w:rsid w:val="004D3B51"/>
    <w:rsid w:val="004D5EFA"/>
    <w:rsid w:val="004E25A6"/>
    <w:rsid w:val="004F275A"/>
    <w:rsid w:val="0056554E"/>
    <w:rsid w:val="00635651"/>
    <w:rsid w:val="006D759E"/>
    <w:rsid w:val="00756E7B"/>
    <w:rsid w:val="007936D2"/>
    <w:rsid w:val="007C55FE"/>
    <w:rsid w:val="00A33B1C"/>
    <w:rsid w:val="00A613D9"/>
    <w:rsid w:val="00A725E1"/>
    <w:rsid w:val="00A75603"/>
    <w:rsid w:val="00AC30EE"/>
    <w:rsid w:val="00AC551C"/>
    <w:rsid w:val="00AD0911"/>
    <w:rsid w:val="00B17197"/>
    <w:rsid w:val="00C11F72"/>
    <w:rsid w:val="00C21962"/>
    <w:rsid w:val="00C84384"/>
    <w:rsid w:val="00CF0948"/>
    <w:rsid w:val="00D04918"/>
    <w:rsid w:val="00DB03A7"/>
    <w:rsid w:val="00DE3007"/>
    <w:rsid w:val="00E443C2"/>
    <w:rsid w:val="00EC05D0"/>
    <w:rsid w:val="00EC3A7D"/>
    <w:rsid w:val="00F70829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ACE4-A000-4EBB-9A60-5BAEF4E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Ернат</cp:lastModifiedBy>
  <cp:revision>2</cp:revision>
  <cp:lastPrinted>2014-08-06T05:13:00Z</cp:lastPrinted>
  <dcterms:created xsi:type="dcterms:W3CDTF">2014-08-12T11:09:00Z</dcterms:created>
  <dcterms:modified xsi:type="dcterms:W3CDTF">2014-08-12T11:09:00Z</dcterms:modified>
</cp:coreProperties>
</file>