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bc84" w14:textId="149bc84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изменений в приказ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и.о. Министра образования и науки Республики Казахстан от 27 декабря 2017 года № 651. Зарегистрирован в Министерстве юстиции Республики Казахстан 12 января 2018 года № 16220.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/>
          <w:i w:val="false"/>
          <w:color w:val="000000"/>
          <w:sz w:val="20"/>
        </w:rPr>
        <w:t>ПРИКАЗЫВАЮ:</w:t>
      </w:r>
      <w:r>
        <w:rPr>
          <w:rFonts w:ascii="Consolas"/>
          <w:b w:val="false"/>
          <w:i w:val="false"/>
          <w:color w:val="000000"/>
          <w:sz w:val="20"/>
        </w:rPr>
        <w:t xml:space="preserve">    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 (зарегистрирован в Реестре государственной регистрации нормативных правовых актов под № 7876, опубликован в газете "Казахстанская правда" от 19 сентября 2012 года № 316-317 (27135-37136)) следующие изменения: 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подпункт 23)</w:t>
      </w:r>
      <w:r>
        <w:rPr>
          <w:rFonts w:ascii="Consolas"/>
          <w:b w:val="false"/>
          <w:i w:val="false"/>
          <w:color w:val="000000"/>
          <w:sz w:val="20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"23) уполномоченный орган – Министерство образования и науки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3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"3. Подготовка учебников, УМК и УМП организуется автором, авторским коллективом самостоятельно или издательством.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организаций среднего образования авторский коллектив формируется из числа ученых, методистов и учителей.";</w:t>
      </w:r>
    </w:p>
    <w:bookmarkEnd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6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"6. Содержание учебников, УМК и УМП, в том числе на электронных носителях, для уровней начального, основного среднего и общего среднего образования, разрешенного уполномоченным органом к использованию в организациях образования дорабатывается авторским коллективом с учетом результатов мониторинга качества учебной литературы.";</w:t>
      </w:r>
    </w:p>
    <w:bookmarkEnd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10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"10. Научная и педагогическая экспертиза учебников, УМК и УМП, в том числе на электронных носителях, проводится экспертной комиссией. 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состав экспертной комиссии входят: для уровней дошкольного воспитания и обучения, начального, основного среднего, общего среднего образования ученые, учителя высшей и первой категорий, воспитатели дошкольных учреждений высшей и первой категорий; для уровня технического и профессионального, послесреднего образования – ученые и преподаватели организаций технического и профессионального, послесреднего образования, представители производства, предприятий и иных организаций; для уровня высшего, послевузовского образования – ученые, преподаватели вузов, представители производства, предприятий и научных организаций.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Экспертная комиссия выносит экспертное решение.";</w:t>
      </w:r>
    </w:p>
    <w:bookmarkEnd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15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16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"15. Научная и педагогическая экспертиза учебников, УМК и УМП, в том числе на электронных носителях, проводится с целью оценки соответствия содержания учебного издания ГОСО РК, типовым учебным планам и типовым учебным программам, а методического аппарата – целям обучения, воспитания и развития обучающихся, современным научным представлениям и требованиям психолого-педагогической науки.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Центр "Учебник" проводит экспертизу учебников, УМК и УМП, для уровней начального, основного среднего и общего среднего образования до апробации и по итогам апробации до следующего переиздания.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проведения общественной оценки качества учебников для уровней начального, основного среднего и общего среднего образования на время проведения экспертизы их электронные версии размещаются на интернет-ресурсе Центра "Учебник".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Центр "Учебник" осуществляет мониторинг замечаний и предложений, поступаюших на портал общественной оценки и направляет их издательствам для устранения. 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На основе экспертного решения Центр "Учебник" готовит экспертное заключение.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Экспертное заключение по результатам экспертизы содержит один из следующих выводов: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для учебников, УМК и УМП, в том числе на электронных носителях, для уровня начального, основного среднего и общего среднего образования: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положительного экспертного решения – "рекомендуется к использованию в организациях образования", а для учебников, УМК и УМП, направляемых на апробацию – "рекомендуется к апробации в организациях образования";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наличия в экспертном решении замечаний, требующих устранения, в том числе и для учебных изданий, направляемых на апробацию – "требует доработки";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отрицательного экспертного решения – "не рекомендуется к использованию в организациях образования", а также для учебных изданий, направляемых на апробацию – "не рекомендуется к апробации в организациях образования";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для учебников, учебно-методических комплексов и учебно-методических пособий, в том числе на электронных носителях, уровней дошкольного воспитания и обучения, технического и профессионального, послесреднего, высшего и послевузовского образования – "рекомендуется к использованию в организациях образования";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наличия в экспертном решении замечаний, требующих устранения – "требует доработки";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отрицательного экспертного решения – "не рекомендуется к использованию в организациях образования".";</w:t>
      </w:r>
    </w:p>
    <w:bookmarkEnd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20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"20. Апробацию проходят учебники, УМК и УМП по обновленному содержанию уровней начального, основного среднего и общего среднего образования.";</w:t>
      </w:r>
    </w:p>
    <w:bookmarkEnd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20-2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"20-2. Список экспериментальных организаций образования, апробирующих учебники, УМК и УМП, перечень учебников и УМК формируется уполномоченным органом.";</w:t>
      </w:r>
    </w:p>
    <w:bookmarkEnd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пункты 25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26</w:t>
      </w:r>
      <w:r>
        <w:rPr>
          <w:rFonts w:ascii="Consolas"/>
          <w:b w:val="false"/>
          <w:i w:val="false"/>
          <w:color w:val="000000"/>
          <w:sz w:val="20"/>
        </w:rPr>
        <w:t xml:space="preserve"> и </w:t>
      </w:r>
      <w:r>
        <w:rPr>
          <w:rFonts w:ascii="Consolas"/>
          <w:b w:val="false"/>
          <w:i w:val="false"/>
          <w:color w:val="000000"/>
          <w:sz w:val="20"/>
        </w:rPr>
        <w:t>27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"25. По итогам мониторинга учебников уполномоченный орган принимает решение об исключении невостребованных организациями образования учебников, УМК и УМП из Перечня учебников, учебно-методических комплексов, пособий и другой дополнительной литературы, в том числе на электронных носителях (далее – Перечень).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26. Уполномоченный орган создает Республиканскую комиссию по рассмотрению результатов экспертизы и апробации учебников, УМК и УМП, в том числе на электронных носителях (далее – Республиканская комиссия).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Состав Республиканской комиссии утверждается первым руководителем уполномоченного органа.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состав Республиканской комиссии входят представители государственных, общественных организаций, педагогической и научной общественности, имеющие опыт работы в области образования.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рассмотрения результатов экспертизы, апробации учебников, УМК и УМП, в том числе на электронных носителях, и внесения предложений в Республиканскую комиссию уполномоченный орган создает предметные комиссии.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Заседание предметных комиссий проводится не реже двух раз в год. Состав предметных комиссии формируется из представителей государственных и общественных организаций, ученых, методистов и педагогов-практиков.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Предметные комиссии: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проводят экспертную оценку учебников для уровней дошкольного, начального, основного среднего и общего среднего образования и ранжирование для определения единого базового учебника;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рассматривают промежуточные и окончательные итоги экспертизы, апробации учебников, УМК и УМП, общественной оценки качества учебников;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вносят на рассмотрение Республиканской комиссии итоги экспертной оценки, апробации и ранжирования учебников, УМК и УМП, в том числе на электронных носителях для уровней дошкольного воспитания и обучения, начального, основного среднего, общего среднего образования.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27. Республиканская комиссия: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рассматривает итоги работы предметных комиссий;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осуществляет отбор учебников, УМК и УМП, в том числе единых базовых учебников, с учетом предложений предметных комиссий и стоимости учебных издании;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выносит следующие решения об использовании учебников, УМК и УМП, в том числе на электронных носителях, в организациях образования: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"рекомендуется к использованию в организациях образования";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"не рекомендуется к использованию в организациях образования"; 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"рекомендуется к использованию в организациях образования в качестве единого базового учебника";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"рекомендуется к использованию в организациях образования в качестве учебника для дополнительного использования";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вносит на рассмотрение и утверждение уполномоченным органом список рекомендованной учебной литературы для включения в Перечень;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вырабатывает и вносит предложения по совершенствованию механизмов подготовки, экспертизы, апробации, мониторинга и издания учебников, УМК и УМП всех уровней образования.";</w:t>
      </w:r>
    </w:p>
    <w:bookmarkEnd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29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58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"29. Для включения в Перечень рекомендуется не более пяти альтернативных учебников, УМК и УМП по одному учебному предмету. 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Утвержденный уполномоченным органом Перечень размещается на интернет-ресурсе www.edu.gov.kz.".</w:t>
      </w:r>
    </w:p>
    <w:bookmarkEnd w:id="46"/>
    <w:bookmarkStart w:name="z60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Республики Казахстан обеспечить: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63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1"/>
    <w:bookmarkStart w:name="z65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52"/>
    <w:bookmarkStart w:name="z66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Министра образования и науки  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А. Амрин   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