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76ED" w14:textId="6BBE0CCB" w:rsidR="00371299" w:rsidRPr="00371299" w:rsidRDefault="00371299" w:rsidP="0037129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Выписка из ИМП</w:t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2026-2027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уч.г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. </w:t>
      </w:r>
    </w:p>
    <w:p w14:paraId="0D487CD7" w14:textId="39A14EF9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По учебным предметам «Казахский язык» и «Русский язык»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промежуточное оценивание включает </w:t>
      </w: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диктант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и задания, направленные на оценивание читательской грамотности на основе текста диктанта. </w:t>
      </w:r>
    </w:p>
    <w:p w14:paraId="30E9EE4B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По учебному предмету «Литературное чтение»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основными формами промежуточного оценивания являются </w:t>
      </w: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сочинение и изложение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. В их содержание включаются задания, направленные на оценивание читательской грамотности. </w:t>
      </w:r>
    </w:p>
    <w:p w14:paraId="196770D7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По учебному предмету «Математика»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промежуточное оценивание проводится в форме </w:t>
      </w: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контрольной работы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, включающей задания, направленные на оценивание математической грамотности. </w:t>
      </w:r>
    </w:p>
    <w:p w14:paraId="3060A76C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По учебным предметам «Естествознание» и «Познание мира»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промежуточное оценивание проводится посредством устных, письменных, практических, проектных и исследовательских работ и заданий, направленных на оценивание естественно-научной грамотности, исследовательских и практических навыков. </w:t>
      </w:r>
    </w:p>
    <w:p w14:paraId="0703A05F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По учебным предметам «Цифровая грамотность», «Трудовое обучение», «Изобразительное искусство», «Музыка» и «Физическая культура»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промежуточное оценивание проводится </w:t>
      </w: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один раз в четверть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. Оценивание осуществляется посредством практических, творческих, проектных, исследовательских, спортивных, индивидуальных и командных работ и заданий, направленных на оценивание навыков, обучающихся с учётом специфики соответствующего учебного предмета. </w:t>
      </w:r>
    </w:p>
    <w:p w14:paraId="312C1097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Максимальный балл за одно промежуточное оценивание, который обучающийся может получить составляет: </w:t>
      </w:r>
    </w:p>
    <w:p w14:paraId="02852D8D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во 2-м классе — 12 баллов; </w:t>
      </w:r>
    </w:p>
    <w:p w14:paraId="4A3132A5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в 3-м классе — 14 баллов; </w:t>
      </w:r>
    </w:p>
    <w:p w14:paraId="2C39FC9E" w14:textId="5C70B52A" w:rsidR="00D40728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>в 4-м классе — 16 баллов</w:t>
      </w:r>
    </w:p>
    <w:p w14:paraId="3B809ACC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3) Итоговое оценивание </w:t>
      </w:r>
    </w:p>
    <w:p w14:paraId="429CF4D2" w14:textId="4FBF4B5E" w:rsidR="00A668EC" w:rsidRPr="00371299" w:rsidRDefault="00A668EC" w:rsidP="0037129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Итоговое оценивание за четверть в 2–4 классах применяется вместо </w:t>
      </w:r>
      <w:proofErr w:type="spellStart"/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суммативного</w:t>
      </w:r>
      <w:proofErr w:type="spellEnd"/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оценивания за четверть (СОЧ).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При этом проведение отдельной контрольной работы в конце четверти, аналогичной </w:t>
      </w:r>
      <w:proofErr w:type="spellStart"/>
      <w:r w:rsidRPr="00371299">
        <w:rPr>
          <w:rFonts w:ascii="Times New Roman" w:hAnsi="Times New Roman" w:cs="Times New Roman"/>
          <w:sz w:val="28"/>
          <w:szCs w:val="28"/>
          <w:lang w:val="ru-KZ"/>
        </w:rPr>
        <w:t>суммативному</w:t>
      </w:r>
      <w:proofErr w:type="spellEnd"/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 оцениванию за четверть, не предусматривается. </w:t>
      </w: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Результат итогового оценивания определяется на основании учебных достижений обучающегося, продемонстрированных в течение всей четверти при </w:t>
      </w:r>
      <w:proofErr w:type="spellStart"/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формативном</w:t>
      </w:r>
      <w:proofErr w:type="spellEnd"/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и промежуточном оценивании.</w:t>
      </w:r>
    </w:p>
    <w:p w14:paraId="0682C99A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Таким образом, итоговая оценка за четверть формируется не по результатам одной итоговой работы, а на основании совокупности результатов оценивания,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полученных обучающимся в течение четверти. Это позволяет учитывать как систематическую учебную деятельность обучающегося на уроках, так и уровень освоения завершенных разделов учебной программы. </w:t>
      </w:r>
    </w:p>
    <w:p w14:paraId="627CCE4B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Порядок проведения и оценивания результатов </w:t>
      </w:r>
      <w:proofErr w:type="spellStart"/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формативного</w:t>
      </w:r>
      <w:proofErr w:type="spellEnd"/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, промежуточного и итогового оценивания. </w:t>
      </w:r>
    </w:p>
    <w:p w14:paraId="6902F9AC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1) </w:t>
      </w:r>
      <w:proofErr w:type="spellStart"/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>Формативное</w:t>
      </w:r>
      <w:proofErr w:type="spellEnd"/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оценивание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должно охватывать не менее 50% учебных целей, предусмотренных на текущую четверть. Максимальный балл за </w:t>
      </w:r>
      <w:proofErr w:type="spellStart"/>
      <w:r w:rsidRPr="00371299">
        <w:rPr>
          <w:rFonts w:ascii="Times New Roman" w:hAnsi="Times New Roman" w:cs="Times New Roman"/>
          <w:sz w:val="28"/>
          <w:szCs w:val="28"/>
          <w:lang w:val="ru-KZ"/>
        </w:rPr>
        <w:t>формативное</w:t>
      </w:r>
      <w:proofErr w:type="spellEnd"/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 оценивание составляет 10 баллов. Для перевода полученных баллов в процентный показатель используется следующая формула: </w:t>
      </w:r>
    </w:p>
    <w:p w14:paraId="323120F0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07E30E97" w14:textId="74FDC8B2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2) </w:t>
      </w: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Промежуточное оценивание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>проводится по завершении изучения раздела(</w:t>
      </w:r>
      <w:proofErr w:type="spellStart"/>
      <w:r w:rsidRPr="00371299">
        <w:rPr>
          <w:rFonts w:ascii="Times New Roman" w:hAnsi="Times New Roman" w:cs="Times New Roman"/>
          <w:sz w:val="28"/>
          <w:szCs w:val="28"/>
          <w:lang w:val="ru-KZ"/>
        </w:rPr>
        <w:t>ов</w:t>
      </w:r>
      <w:proofErr w:type="spellEnd"/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) в целях определения и фиксации уровня освоения обучающимися учебного материала и осуществляется посредством выполнения учебных заданий с учетом специфики учебного предмета. </w:t>
      </w:r>
    </w:p>
    <w:p w14:paraId="0AEB5F97" w14:textId="7CCF0B6D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>Шкала перевода результатов итоговой оценки оценивания:</w:t>
      </w:r>
    </w:p>
    <w:p w14:paraId="10985832" w14:textId="7BB87FBE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73BC28A1" wp14:editId="504ABB5F">
            <wp:extent cx="5940425" cy="2240280"/>
            <wp:effectExtent l="0" t="0" r="3175" b="7620"/>
            <wp:docPr id="14714878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56712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7E3018CB" w14:textId="77777777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4) </w:t>
      </w:r>
      <w:r w:rsidRPr="0037129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Выставление годовой оценки.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По завершении учебного года обучающимся 2–4 классов по каждому учебному предмету выставляется </w:t>
      </w: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>годовая оценка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</w:p>
    <w:p w14:paraId="34FC9EDA" w14:textId="05C0AC8F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sz w:val="28"/>
          <w:szCs w:val="28"/>
          <w:lang w:val="ru-KZ"/>
        </w:rPr>
        <w:t xml:space="preserve">Годовая оценка определяется </w:t>
      </w: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на основании четвертных оценок </w:t>
      </w:r>
      <w:r w:rsidRPr="00371299">
        <w:rPr>
          <w:rFonts w:ascii="Times New Roman" w:hAnsi="Times New Roman" w:cs="Times New Roman"/>
          <w:sz w:val="28"/>
          <w:szCs w:val="28"/>
          <w:lang w:val="ru-KZ"/>
        </w:rPr>
        <w:t>и не предусматривает проведения отдельной контрольной, проверочной или итоговой работы за учебный год.</w:t>
      </w:r>
    </w:p>
    <w:p w14:paraId="042522B3" w14:textId="52E4D45E" w:rsidR="00A668EC" w:rsidRPr="00371299" w:rsidRDefault="00A668EC" w:rsidP="0037129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371299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Объём и количество заданий промежуточного оценивания по учебным предметам </w:t>
      </w:r>
    </w:p>
    <w:p w14:paraId="115B2B35" w14:textId="77777777" w:rsidR="00371299" w:rsidRDefault="00371299" w:rsidP="00A668EC">
      <w:pPr>
        <w:rPr>
          <w:noProof/>
          <w:lang w:val="ru-RU"/>
        </w:rPr>
      </w:pPr>
    </w:p>
    <w:p w14:paraId="2B2E1501" w14:textId="1B70E24B" w:rsidR="00A668EC" w:rsidRPr="00371299" w:rsidRDefault="00371299" w:rsidP="00A668E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DBAFA8E" wp14:editId="0BAAD40C">
            <wp:simplePos x="0" y="0"/>
            <wp:positionH relativeFrom="margin">
              <wp:posOffset>-104441</wp:posOffset>
            </wp:positionH>
            <wp:positionV relativeFrom="paragraph">
              <wp:posOffset>247516</wp:posOffset>
            </wp:positionV>
            <wp:extent cx="4828540" cy="2560955"/>
            <wp:effectExtent l="0" t="0" r="0" b="0"/>
            <wp:wrapThrough wrapText="bothSides">
              <wp:wrapPolygon edited="0">
                <wp:start x="0" y="0"/>
                <wp:lineTo x="0" y="21370"/>
                <wp:lineTo x="21475" y="21370"/>
                <wp:lineTo x="21475" y="0"/>
                <wp:lineTo x="0" y="0"/>
              </wp:wrapPolygon>
            </wp:wrapThrough>
            <wp:docPr id="2411947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76" b="3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40" cy="256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299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Казахский язык/Русский язык</w:t>
      </w:r>
    </w:p>
    <w:p w14:paraId="7BA4F9A3" w14:textId="04A079E4" w:rsidR="00A668EC" w:rsidRDefault="00A668EC" w:rsidP="00A668EC">
      <w:pPr>
        <w:rPr>
          <w:lang w:val="ru-KZ"/>
        </w:rPr>
      </w:pPr>
    </w:p>
    <w:p w14:paraId="52B185B1" w14:textId="77777777" w:rsidR="00A668EC" w:rsidRDefault="00A668EC" w:rsidP="00A668EC">
      <w:pPr>
        <w:rPr>
          <w:lang w:val="ru-KZ"/>
        </w:rPr>
      </w:pPr>
    </w:p>
    <w:p w14:paraId="06D99346" w14:textId="77777777" w:rsidR="00A668EC" w:rsidRDefault="00A668EC" w:rsidP="00A668EC">
      <w:pPr>
        <w:rPr>
          <w:lang w:val="ru-KZ"/>
        </w:rPr>
      </w:pPr>
    </w:p>
    <w:p w14:paraId="126AF8B7" w14:textId="77777777" w:rsidR="00A668EC" w:rsidRDefault="00A668EC" w:rsidP="00A668EC">
      <w:pPr>
        <w:rPr>
          <w:lang w:val="ru-KZ"/>
        </w:rPr>
      </w:pPr>
    </w:p>
    <w:p w14:paraId="66F1A6F7" w14:textId="77777777" w:rsidR="00A668EC" w:rsidRDefault="00A668EC" w:rsidP="00A668EC">
      <w:pPr>
        <w:rPr>
          <w:lang w:val="ru-KZ"/>
        </w:rPr>
      </w:pPr>
    </w:p>
    <w:p w14:paraId="79264865" w14:textId="77777777" w:rsidR="00A668EC" w:rsidRDefault="00A668EC" w:rsidP="00A668EC">
      <w:pPr>
        <w:rPr>
          <w:lang w:val="ru-KZ"/>
        </w:rPr>
      </w:pPr>
    </w:p>
    <w:p w14:paraId="3D1FB420" w14:textId="77777777" w:rsidR="00A668EC" w:rsidRDefault="00A668EC" w:rsidP="00A668EC">
      <w:pPr>
        <w:rPr>
          <w:lang w:val="ru-KZ"/>
        </w:rPr>
      </w:pPr>
    </w:p>
    <w:p w14:paraId="41FBBE53" w14:textId="64939397" w:rsidR="00A668EC" w:rsidRDefault="00A668EC" w:rsidP="00A668EC">
      <w:pPr>
        <w:rPr>
          <w:lang w:val="ru-KZ"/>
        </w:rPr>
      </w:pPr>
    </w:p>
    <w:p w14:paraId="1E7A4838" w14:textId="1E4D4D00" w:rsidR="00A668EC" w:rsidRDefault="00371299" w:rsidP="00A668EC">
      <w:pPr>
        <w:rPr>
          <w:lang w:val="ru-K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60F714F" wp14:editId="10C46AD1">
            <wp:simplePos x="0" y="0"/>
            <wp:positionH relativeFrom="page">
              <wp:posOffset>888432</wp:posOffset>
            </wp:positionH>
            <wp:positionV relativeFrom="paragraph">
              <wp:posOffset>3882590</wp:posOffset>
            </wp:positionV>
            <wp:extent cx="5940425" cy="3188335"/>
            <wp:effectExtent l="0" t="0" r="3175" b="0"/>
            <wp:wrapThrough wrapText="bothSides">
              <wp:wrapPolygon edited="0">
                <wp:start x="0" y="0"/>
                <wp:lineTo x="0" y="21424"/>
                <wp:lineTo x="21542" y="21424"/>
                <wp:lineTo x="21542" y="0"/>
                <wp:lineTo x="0" y="0"/>
              </wp:wrapPolygon>
            </wp:wrapThrough>
            <wp:docPr id="14364481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2B2F925" wp14:editId="64C16BD3">
            <wp:simplePos x="0" y="0"/>
            <wp:positionH relativeFrom="column">
              <wp:posOffset>-246079</wp:posOffset>
            </wp:positionH>
            <wp:positionV relativeFrom="paragraph">
              <wp:posOffset>176597</wp:posOffset>
            </wp:positionV>
            <wp:extent cx="5940425" cy="3702050"/>
            <wp:effectExtent l="0" t="0" r="3175" b="0"/>
            <wp:wrapThrough wrapText="bothSides">
              <wp:wrapPolygon edited="0">
                <wp:start x="0" y="0"/>
                <wp:lineTo x="0" y="21452"/>
                <wp:lineTo x="21542" y="21452"/>
                <wp:lineTo x="21542" y="0"/>
                <wp:lineTo x="0" y="0"/>
              </wp:wrapPolygon>
            </wp:wrapThrough>
            <wp:docPr id="11780112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46D39" w14:textId="69383C3E" w:rsidR="00A668EC" w:rsidRDefault="00371299" w:rsidP="00A668EC">
      <w:pPr>
        <w:rPr>
          <w:lang w:val="ru-KZ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0B2B45C" wp14:editId="36234DBD">
            <wp:simplePos x="0" y="0"/>
            <wp:positionH relativeFrom="column">
              <wp:posOffset>-141505</wp:posOffset>
            </wp:positionH>
            <wp:positionV relativeFrom="paragraph">
              <wp:posOffset>1580749</wp:posOffset>
            </wp:positionV>
            <wp:extent cx="5940425" cy="6614795"/>
            <wp:effectExtent l="0" t="0" r="3175" b="0"/>
            <wp:wrapThrough wrapText="bothSides">
              <wp:wrapPolygon edited="0">
                <wp:start x="0" y="0"/>
                <wp:lineTo x="0" y="21523"/>
                <wp:lineTo x="21542" y="21523"/>
                <wp:lineTo x="21542" y="0"/>
                <wp:lineTo x="0" y="0"/>
              </wp:wrapPolygon>
            </wp:wrapThrough>
            <wp:docPr id="167522236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1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CEA4C" w14:textId="6BE0DE2B" w:rsidR="00A668EC" w:rsidRDefault="00371299" w:rsidP="00A668EC">
      <w:pPr>
        <w:rPr>
          <w:lang w:val="ru-KZ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CB80B03" wp14:editId="6AEB7183">
            <wp:simplePos x="0" y="0"/>
            <wp:positionH relativeFrom="column">
              <wp:posOffset>2707</wp:posOffset>
            </wp:positionH>
            <wp:positionV relativeFrom="paragraph">
              <wp:posOffset>-869</wp:posOffset>
            </wp:positionV>
            <wp:extent cx="5939672" cy="3208421"/>
            <wp:effectExtent l="0" t="0" r="4445" b="0"/>
            <wp:wrapThrough wrapText="bothSides">
              <wp:wrapPolygon edited="0">
                <wp:start x="0" y="0"/>
                <wp:lineTo x="0" y="21420"/>
                <wp:lineTo x="21547" y="21420"/>
                <wp:lineTo x="21547" y="0"/>
                <wp:lineTo x="0" y="0"/>
              </wp:wrapPolygon>
            </wp:wrapThrough>
            <wp:docPr id="5493546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672" cy="320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9A3C7" w14:textId="56105734" w:rsidR="00A668EC" w:rsidRDefault="00A668EC" w:rsidP="00A668EC">
      <w:pPr>
        <w:rPr>
          <w:lang w:val="ru-KZ"/>
        </w:rPr>
      </w:pPr>
    </w:p>
    <w:p w14:paraId="6E269ACB" w14:textId="4234E449" w:rsidR="00371299" w:rsidRDefault="00371299" w:rsidP="00A668EC">
      <w:pPr>
        <w:rPr>
          <w:lang w:val="ru-KZ"/>
        </w:rPr>
      </w:pPr>
    </w:p>
    <w:p w14:paraId="5C63114D" w14:textId="13109253" w:rsidR="00A668EC" w:rsidRDefault="00A668EC" w:rsidP="00A668EC">
      <w:pPr>
        <w:rPr>
          <w:lang w:val="ru-KZ"/>
        </w:rPr>
      </w:pPr>
    </w:p>
    <w:p w14:paraId="55AC19DE" w14:textId="6DDE508A" w:rsidR="00371299" w:rsidRPr="00A668EC" w:rsidRDefault="00371299" w:rsidP="00A668EC">
      <w:pPr>
        <w:rPr>
          <w:lang w:val="ru-KZ"/>
        </w:rPr>
      </w:pPr>
    </w:p>
    <w:sectPr w:rsidR="00371299" w:rsidRPr="00A668EC" w:rsidSect="00371299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62"/>
    <w:rsid w:val="00371299"/>
    <w:rsid w:val="0070115B"/>
    <w:rsid w:val="008D142F"/>
    <w:rsid w:val="009C6B62"/>
    <w:rsid w:val="00A668EC"/>
    <w:rsid w:val="00D40728"/>
    <w:rsid w:val="00E1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ACD3"/>
  <w15:chartTrackingRefBased/>
  <w15:docId w15:val="{1F1E5990-7544-4695-88D0-90A97455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6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6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6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6B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6B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6B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6B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6B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6B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6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6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6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6B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6B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6B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6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6B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6B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2</cp:revision>
  <dcterms:created xsi:type="dcterms:W3CDTF">2026-08-31T08:33:00Z</dcterms:created>
  <dcterms:modified xsi:type="dcterms:W3CDTF">2026-08-31T09:46:00Z</dcterms:modified>
</cp:coreProperties>
</file>