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324F1" w14:textId="002B686D" w:rsidR="00E82487" w:rsidRPr="007A4E1D" w:rsidRDefault="00E82487" w:rsidP="007A4E1D">
      <w:pPr>
        <w:rPr>
          <w:lang w:val="ru-RU"/>
        </w:rPr>
      </w:pPr>
    </w:p>
    <w:tbl>
      <w:tblPr>
        <w:tblStyle w:val="a3"/>
        <w:tblW w:w="10289" w:type="dxa"/>
        <w:tblLook w:val="04A0" w:firstRow="1" w:lastRow="0" w:firstColumn="1" w:lastColumn="0" w:noHBand="0" w:noVBand="1"/>
      </w:tblPr>
      <w:tblGrid>
        <w:gridCol w:w="4987"/>
        <w:gridCol w:w="2463"/>
        <w:gridCol w:w="2839"/>
      </w:tblGrid>
      <w:tr w:rsidR="00AF5754" w14:paraId="6B7D4451" w14:textId="77777777" w:rsidTr="00DA7D01">
        <w:trPr>
          <w:trHeight w:val="102"/>
        </w:trPr>
        <w:tc>
          <w:tcPr>
            <w:tcW w:w="4987" w:type="dxa"/>
          </w:tcPr>
          <w:p w14:paraId="60D0D874" w14:textId="019FFEF5" w:rsidR="004744FE" w:rsidRDefault="004744FE" w:rsidP="004744F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фото</w:t>
            </w:r>
          </w:p>
        </w:tc>
        <w:tc>
          <w:tcPr>
            <w:tcW w:w="2463" w:type="dxa"/>
          </w:tcPr>
          <w:p w14:paraId="470CC849" w14:textId="3914D35F" w:rsidR="004744FE" w:rsidRDefault="004744FE" w:rsidP="004744F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рус</w:t>
            </w:r>
          </w:p>
        </w:tc>
        <w:tc>
          <w:tcPr>
            <w:tcW w:w="2839" w:type="dxa"/>
          </w:tcPr>
          <w:p w14:paraId="506C72CF" w14:textId="591A0E06" w:rsidR="004744FE" w:rsidRDefault="004744FE" w:rsidP="004744F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каз</w:t>
            </w:r>
          </w:p>
        </w:tc>
      </w:tr>
      <w:tr w:rsidR="00AF5754" w:rsidRPr="006B57FC" w14:paraId="79CD553F" w14:textId="77777777" w:rsidTr="00DA7D01">
        <w:trPr>
          <w:trHeight w:val="102"/>
        </w:trPr>
        <w:tc>
          <w:tcPr>
            <w:tcW w:w="4987" w:type="dxa"/>
          </w:tcPr>
          <w:p w14:paraId="1D713E79" w14:textId="77777777" w:rsidR="006B57FC" w:rsidRDefault="00CF7A0D" w:rsidP="00CF7A0D">
            <w:pPr>
              <w:rPr>
                <w:b/>
                <w:bCs/>
                <w:lang w:val="ru-RU"/>
              </w:rPr>
            </w:pPr>
            <w:r w:rsidRPr="00AF1354">
              <w:rPr>
                <w:b/>
                <w:bCs/>
                <w:highlight w:val="yellow"/>
                <w:lang w:val="ru-RU"/>
              </w:rPr>
              <w:t>ВОСКРЕСЕНЬЕ – 27 АПРЕЛЯ</w:t>
            </w:r>
          </w:p>
          <w:p w14:paraId="2EA98034" w14:textId="1C767C2E" w:rsidR="00CF7A0D" w:rsidRDefault="006B57FC" w:rsidP="00CF7A0D">
            <w:pPr>
              <w:rPr>
                <w:b/>
                <w:bCs/>
                <w:lang w:val="ru-RU"/>
              </w:rPr>
            </w:pPr>
            <w:r>
              <w:rPr>
                <w:noProof/>
              </w:rPr>
              <w:drawing>
                <wp:inline distT="0" distB="0" distL="0" distR="0" wp14:anchorId="0886AA7C" wp14:editId="31470C3F">
                  <wp:extent cx="2661313" cy="2661313"/>
                  <wp:effectExtent l="0" t="0" r="5715" b="5715"/>
                  <wp:docPr id="9948529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9762" cy="2669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F7A0D">
              <w:rPr>
                <w:b/>
                <w:bCs/>
                <w:lang w:val="ru-RU"/>
              </w:rPr>
              <w:t xml:space="preserve"> </w:t>
            </w:r>
          </w:p>
          <w:p w14:paraId="09B16096" w14:textId="77777777" w:rsidR="006B57FC" w:rsidRDefault="006B57FC" w:rsidP="00CF7A0D">
            <w:pPr>
              <w:rPr>
                <w:b/>
                <w:bCs/>
                <w:lang w:val="ru-RU"/>
              </w:rPr>
            </w:pPr>
          </w:p>
          <w:p w14:paraId="486BEDA1" w14:textId="3F63F573" w:rsidR="006B57FC" w:rsidRDefault="006B57FC" w:rsidP="00CF7A0D">
            <w:pPr>
              <w:rPr>
                <w:b/>
                <w:bCs/>
                <w:lang w:val="ru-RU"/>
              </w:rPr>
            </w:pPr>
            <w:r>
              <w:rPr>
                <w:noProof/>
              </w:rPr>
              <w:drawing>
                <wp:inline distT="0" distB="0" distL="0" distR="0" wp14:anchorId="78CC10C5" wp14:editId="47AC4728">
                  <wp:extent cx="2647665" cy="2647665"/>
                  <wp:effectExtent l="0" t="0" r="635" b="635"/>
                  <wp:docPr id="13165319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5182" cy="2655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95DD79" w14:textId="71E511A0" w:rsidR="00F80844" w:rsidRDefault="00F80844" w:rsidP="004744FE">
            <w:pPr>
              <w:jc w:val="center"/>
              <w:rPr>
                <w:b/>
                <w:bCs/>
                <w:lang w:val="ru-RU"/>
              </w:rPr>
            </w:pPr>
          </w:p>
          <w:p w14:paraId="2DF2FE44" w14:textId="77777777" w:rsidR="00A97579" w:rsidRDefault="00A97579" w:rsidP="004744FE">
            <w:pPr>
              <w:jc w:val="center"/>
              <w:rPr>
                <w:b/>
                <w:bCs/>
                <w:lang w:val="ru-RU"/>
              </w:rPr>
            </w:pPr>
          </w:p>
          <w:p w14:paraId="46FD19E2" w14:textId="04EA524C" w:rsidR="00D54250" w:rsidRDefault="00D54250" w:rsidP="004744F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463" w:type="dxa"/>
          </w:tcPr>
          <w:p w14:paraId="5DEA44BE" w14:textId="77777777" w:rsidR="006B57FC" w:rsidRPr="001D6DA9" w:rsidRDefault="006B57FC" w:rsidP="006B57FC">
            <w:pPr>
              <w:autoSpaceDE w:val="0"/>
              <w:autoSpaceDN w:val="0"/>
              <w:adjustRightInd w:val="0"/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</w:pPr>
            <w:r w:rsidRPr="001D6DA9"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  <w:t>Сегодня в каждой стране действует национальная программа</w:t>
            </w:r>
            <w:r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cs="AzoSans-Regular"/>
                <w:kern w:val="0"/>
                <w:sz w:val="24"/>
                <w:szCs w:val="24"/>
                <w:lang w:val="ru-RU"/>
              </w:rPr>
              <w:t>и</w:t>
            </w:r>
            <w:r w:rsidRPr="001D6DA9"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  <w:t>ммунизации, а вакцины</w:t>
            </w:r>
          </w:p>
          <w:p w14:paraId="7F5C2175" w14:textId="77777777" w:rsidR="006B57FC" w:rsidRPr="001D6DA9" w:rsidRDefault="006B57FC" w:rsidP="006B57FC">
            <w:pPr>
              <w:autoSpaceDE w:val="0"/>
              <w:autoSpaceDN w:val="0"/>
              <w:adjustRightInd w:val="0"/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</w:pPr>
            <w:r w:rsidRPr="001D6DA9"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  <w:t>признаны одними из самых безопасны</w:t>
            </w:r>
            <w:r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  <w:t xml:space="preserve">х и </w:t>
            </w:r>
            <w:r w:rsidRPr="001D6DA9"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  <w:t>эффективных мер</w:t>
            </w:r>
            <w:r w:rsidRPr="001D6DA9">
              <w:rPr>
                <w:rFonts w:cs="AzoSans-Regular"/>
                <w:kern w:val="0"/>
                <w:sz w:val="24"/>
                <w:szCs w:val="24"/>
                <w:lang w:val="ru-RU"/>
              </w:rPr>
              <w:t xml:space="preserve"> </w:t>
            </w:r>
            <w:r w:rsidRPr="005A2FC4"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  <w:t xml:space="preserve">профилактики </w:t>
            </w:r>
            <w:r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  <w:t xml:space="preserve">многих </w:t>
            </w:r>
            <w:r w:rsidRPr="005A2FC4"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  <w:t>заболеваний</w:t>
            </w:r>
            <w:r w:rsidRPr="001D6DA9"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  <w:t>. В течение пяти десятилетий национальные программы плановой иммунизации</w:t>
            </w:r>
          </w:p>
          <w:p w14:paraId="0C7C900D" w14:textId="77777777" w:rsidR="006B57FC" w:rsidRPr="001D6DA9" w:rsidRDefault="006B57FC" w:rsidP="006B57FC">
            <w:pPr>
              <w:autoSpaceDE w:val="0"/>
              <w:autoSpaceDN w:val="0"/>
              <w:adjustRightInd w:val="0"/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</w:pPr>
            <w:r w:rsidRPr="001D6DA9"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  <w:t>развивались и расширялись и сегодня, согласно рекомендациям ВОЗ, обеспечивают</w:t>
            </w:r>
          </w:p>
          <w:p w14:paraId="21AEF0A8" w14:textId="77777777" w:rsidR="006B57FC" w:rsidRPr="001D6DA9" w:rsidRDefault="006B57FC" w:rsidP="006B57FC">
            <w:pPr>
              <w:autoSpaceDE w:val="0"/>
              <w:autoSpaceDN w:val="0"/>
              <w:adjustRightInd w:val="0"/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</w:pPr>
            <w:r w:rsidRPr="001D6DA9"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  <w:t>вакцинацию детей, подростков и взрослых против как минимум 13 серьезных</w:t>
            </w:r>
          </w:p>
          <w:p w14:paraId="4F531DC5" w14:textId="77777777" w:rsidR="006B57FC" w:rsidRDefault="006B57FC" w:rsidP="006B57FC">
            <w:pPr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</w:pPr>
            <w:r w:rsidRPr="00E82487"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  <w:t>заболеваний.</w:t>
            </w:r>
          </w:p>
          <w:p w14:paraId="42A9E602" w14:textId="77777777" w:rsidR="006B57FC" w:rsidRDefault="006B57FC" w:rsidP="006B57FC">
            <w:pPr>
              <w:rPr>
                <w:b/>
                <w:bCs/>
                <w:lang w:val="ru-RU"/>
              </w:rPr>
            </w:pPr>
          </w:p>
          <w:p w14:paraId="0AE9B398" w14:textId="77777777" w:rsidR="006B57FC" w:rsidRPr="00DD115C" w:rsidRDefault="006B57FC" w:rsidP="006B57FC">
            <w:pPr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</w:pPr>
            <w:r w:rsidRPr="00DD115C"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  <w:t>#вакцин</w:t>
            </w:r>
            <w:r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  <w:t>ыработают</w:t>
            </w:r>
            <w:r w:rsidRPr="00DD115C"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  <w:t xml:space="preserve">  </w:t>
            </w:r>
          </w:p>
          <w:p w14:paraId="429B9207" w14:textId="709294F9" w:rsidR="006B57FC" w:rsidRDefault="006B57FC" w:rsidP="006B57FC">
            <w:pPr>
              <w:rPr>
                <w:rFonts w:cs="AzoSans-Regular"/>
                <w:kern w:val="0"/>
                <w:sz w:val="24"/>
                <w:szCs w:val="24"/>
                <w:lang w:val="ru-RU"/>
              </w:rPr>
            </w:pPr>
            <w:r w:rsidRPr="00DD115C"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  <w:t>#VaccinesWork</w:t>
            </w:r>
            <w:r w:rsidRPr="00E82487">
              <w:rPr>
                <w:rFonts w:cs="AzoSans-Regular"/>
                <w:kern w:val="0"/>
                <w:sz w:val="24"/>
                <w:szCs w:val="24"/>
                <w:lang w:val="ru-RU"/>
              </w:rPr>
              <w:t xml:space="preserve"> #</w:t>
            </w:r>
            <w:r>
              <w:rPr>
                <w:rFonts w:cs="AzoSans-Regular"/>
                <w:kern w:val="0"/>
                <w:sz w:val="24"/>
                <w:szCs w:val="24"/>
              </w:rPr>
              <w:t>EIW</w:t>
            </w:r>
            <w:r w:rsidRPr="00E82487">
              <w:rPr>
                <w:rFonts w:cs="AzoSans-Regular"/>
                <w:kern w:val="0"/>
                <w:sz w:val="24"/>
                <w:szCs w:val="24"/>
                <w:lang w:val="ru-RU"/>
              </w:rPr>
              <w:t>202</w:t>
            </w:r>
            <w:r w:rsidR="001D0F39">
              <w:rPr>
                <w:rFonts w:cs="AzoSans-Regular"/>
                <w:kern w:val="0"/>
                <w:sz w:val="24"/>
                <w:szCs w:val="24"/>
                <w:lang w:val="ru-RU"/>
              </w:rPr>
              <w:t>5</w:t>
            </w:r>
          </w:p>
          <w:p w14:paraId="653DFF24" w14:textId="77777777" w:rsidR="006B57FC" w:rsidRDefault="006B57FC" w:rsidP="006B57FC">
            <w:pPr>
              <w:rPr>
                <w:rFonts w:cs="AzoSans-Regular"/>
                <w:kern w:val="0"/>
                <w:sz w:val="24"/>
                <w:szCs w:val="24"/>
                <w:lang w:val="ru-RU"/>
              </w:rPr>
            </w:pPr>
          </w:p>
          <w:p w14:paraId="76D6D687" w14:textId="684B3CC8" w:rsidR="00F80844" w:rsidRPr="006B57FC" w:rsidRDefault="006B57FC" w:rsidP="006B57FC">
            <w:pPr>
              <w:rPr>
                <w:rFonts w:cs="AzoSans-Regular"/>
                <w:i/>
                <w:iCs/>
                <w:kern w:val="0"/>
                <w:sz w:val="24"/>
                <w:szCs w:val="24"/>
                <w:lang w:val="ru-RU"/>
              </w:rPr>
            </w:pPr>
            <w:r w:rsidRPr="00057061">
              <w:rPr>
                <w:rFonts w:ascii="AzoSans-Regular" w:hAnsi="AzoSans-Regular" w:cs="AzoSans-Regular"/>
                <w:i/>
                <w:iCs/>
                <w:kern w:val="0"/>
                <w:sz w:val="24"/>
                <w:szCs w:val="24"/>
                <w:highlight w:val="yellow"/>
                <w:lang w:val="ru-RU"/>
              </w:rPr>
              <w:t>(</w:t>
            </w:r>
            <w:r w:rsidRPr="00057061">
              <w:rPr>
                <w:rFonts w:cs="AzoSans-Regular"/>
                <w:i/>
                <w:iCs/>
                <w:kern w:val="0"/>
                <w:sz w:val="24"/>
                <w:szCs w:val="24"/>
                <w:highlight w:val="yellow"/>
              </w:rPr>
              <w:t>EU</w:t>
            </w:r>
            <w:r w:rsidRPr="00057061">
              <w:rPr>
                <w:rFonts w:cs="AzoSans-Regular"/>
                <w:i/>
                <w:iCs/>
                <w:kern w:val="0"/>
                <w:sz w:val="24"/>
                <w:szCs w:val="24"/>
                <w:highlight w:val="yellow"/>
                <w:lang w:val="ru-RU"/>
              </w:rPr>
              <w:t xml:space="preserve">, </w:t>
            </w:r>
            <w:r w:rsidR="001F021B">
              <w:rPr>
                <w:rFonts w:cs="AzoSans-Regular"/>
                <w:i/>
                <w:iCs/>
                <w:kern w:val="0"/>
                <w:sz w:val="24"/>
                <w:szCs w:val="24"/>
                <w:highlight w:val="yellow"/>
                <w:lang w:val="ru-RU"/>
              </w:rPr>
              <w:t xml:space="preserve">КСЕК, </w:t>
            </w:r>
            <w:r w:rsidRPr="00057061">
              <w:rPr>
                <w:rFonts w:cs="AzoSans-Regular"/>
                <w:i/>
                <w:iCs/>
                <w:kern w:val="0"/>
                <w:sz w:val="24"/>
                <w:szCs w:val="24"/>
                <w:highlight w:val="yellow"/>
                <w:lang w:val="ru-RU"/>
              </w:rPr>
              <w:t>НЦОЗ и МЗ коллаборацию)</w:t>
            </w:r>
          </w:p>
        </w:tc>
        <w:tc>
          <w:tcPr>
            <w:tcW w:w="2839" w:type="dxa"/>
          </w:tcPr>
          <w:p w14:paraId="43BD2F59" w14:textId="420B56CE" w:rsidR="001F021B" w:rsidRDefault="001F021B" w:rsidP="001F021B">
            <w:pPr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</w:pPr>
            <w:r w:rsidRPr="003B6BF4">
              <w:rPr>
                <w:rFonts w:ascii="AzoSans-Regular" w:hAnsi="AzoSans-Regular" w:cs="AzoSans-Regular"/>
                <w:kern w:val="0"/>
                <w:sz w:val="24"/>
                <w:szCs w:val="24"/>
                <w:highlight w:val="green"/>
                <w:lang w:val="ru-RU"/>
              </w:rPr>
              <w:t xml:space="preserve">Бүгінгі таңда әр елде ұлттық иммундау бағдарламасы </w:t>
            </w:r>
            <w:r w:rsidR="001A72E7">
              <w:rPr>
                <w:rFonts w:ascii="AzoSans-Regular" w:hAnsi="AzoSans-Regular" w:cs="AzoSans-Regular"/>
                <w:kern w:val="0"/>
                <w:sz w:val="24"/>
                <w:szCs w:val="24"/>
                <w:highlight w:val="green"/>
                <w:lang w:val="ru-RU"/>
              </w:rPr>
              <w:t>ж</w:t>
            </w:r>
            <w:r w:rsidR="001A72E7">
              <w:rPr>
                <w:rFonts w:ascii="AzoSans-Regular" w:hAnsi="AzoSans-Regular" w:cs="AzoSans-Regular"/>
                <w:kern w:val="0"/>
                <w:sz w:val="24"/>
                <w:szCs w:val="24"/>
                <w:highlight w:val="green"/>
                <w:lang w:val="kk-KZ"/>
              </w:rPr>
              <w:t>үріп жатыр</w:t>
            </w:r>
            <w:r w:rsidRPr="003B6BF4">
              <w:rPr>
                <w:rFonts w:ascii="AzoSans-Regular" w:hAnsi="AzoSans-Regular" w:cs="AzoSans-Regular"/>
                <w:kern w:val="0"/>
                <w:sz w:val="24"/>
                <w:szCs w:val="24"/>
                <w:highlight w:val="green"/>
                <w:lang w:val="ru-RU"/>
              </w:rPr>
              <w:t xml:space="preserve"> және вакциналар көптеген аурулардың алдын алудың ең қауіпсіз және тиімді шараларының бірі болып саналады. Бес онжылдықта ұлттық жоспарлы иммундау бағдарламалары дамыды және кеңейді, ал бүгінгі күні </w:t>
            </w:r>
            <w:r w:rsidRPr="00AE7BC3">
              <w:rPr>
                <w:rFonts w:ascii="AzoSans-Regular" w:hAnsi="AzoSans-Regular" w:cs="AzoSans-Regular"/>
                <w:color w:val="FF0000"/>
                <w:kern w:val="0"/>
                <w:sz w:val="24"/>
                <w:szCs w:val="24"/>
                <w:highlight w:val="green"/>
                <w:lang w:val="ru-RU"/>
              </w:rPr>
              <w:t>ДД</w:t>
            </w:r>
            <w:r w:rsidR="001A72E7" w:rsidRPr="00AE7BC3">
              <w:rPr>
                <w:rFonts w:ascii="AzoSans-Regular" w:hAnsi="AzoSans-Regular" w:cs="AzoSans-Regular"/>
                <w:color w:val="FF0000"/>
                <w:kern w:val="0"/>
                <w:sz w:val="24"/>
                <w:szCs w:val="24"/>
                <w:highlight w:val="green"/>
                <w:lang w:val="ru-RU"/>
              </w:rPr>
              <w:t>С</w:t>
            </w:r>
            <w:r w:rsidRPr="00AE7BC3">
              <w:rPr>
                <w:rFonts w:ascii="AzoSans-Regular" w:hAnsi="AzoSans-Regular" w:cs="AzoSans-Regular"/>
                <w:color w:val="FF0000"/>
                <w:kern w:val="0"/>
                <w:sz w:val="24"/>
                <w:szCs w:val="24"/>
                <w:highlight w:val="green"/>
                <w:lang w:val="ru-RU"/>
              </w:rPr>
              <w:t>Ұ</w:t>
            </w:r>
            <w:r w:rsidRPr="003B6BF4">
              <w:rPr>
                <w:rFonts w:ascii="AzoSans-Regular" w:hAnsi="AzoSans-Regular" w:cs="AzoSans-Regular"/>
                <w:kern w:val="0"/>
                <w:sz w:val="24"/>
                <w:szCs w:val="24"/>
                <w:highlight w:val="green"/>
                <w:lang w:val="ru-RU"/>
              </w:rPr>
              <w:t xml:space="preserve"> ұсыныстарына сәйкес, балаларға, жасөспірімдерге және ересектерге кем дегенде 13 ауыр ауруға қарсы вакцинациялауды қамтамасыз етеді.</w:t>
            </w:r>
          </w:p>
          <w:p w14:paraId="4BCE3516" w14:textId="77777777" w:rsidR="001F021B" w:rsidRDefault="001F021B" w:rsidP="001F021B">
            <w:pPr>
              <w:rPr>
                <w:b/>
                <w:bCs/>
                <w:lang w:val="ru-RU"/>
              </w:rPr>
            </w:pPr>
          </w:p>
          <w:p w14:paraId="40D758F8" w14:textId="18C20462" w:rsidR="001F021B" w:rsidRPr="00DD115C" w:rsidRDefault="001F021B" w:rsidP="001F021B">
            <w:pPr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</w:pPr>
            <w:r w:rsidRPr="00DD115C"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  <w:t>#</w:t>
            </w:r>
            <w:r w:rsidRPr="00EC058F">
              <w:rPr>
                <w:rFonts w:ascii="AzoSans-Regular" w:hAnsi="AzoSans-Regular" w:cs="AzoSans-Regular"/>
                <w:kern w:val="0"/>
                <w:sz w:val="24"/>
                <w:szCs w:val="24"/>
                <w:shd w:val="clear" w:color="auto" w:fill="FF0000"/>
                <w:lang w:val="ru-RU"/>
              </w:rPr>
              <w:t>вакциналар</w:t>
            </w:r>
            <w:r w:rsidR="001A72E7" w:rsidRPr="00EC058F">
              <w:rPr>
                <w:rFonts w:ascii="AzoSans-Regular" w:hAnsi="AzoSans-Regular" w:cs="AzoSans-Regular"/>
                <w:kern w:val="0"/>
                <w:sz w:val="24"/>
                <w:szCs w:val="24"/>
                <w:shd w:val="clear" w:color="auto" w:fill="FF0000"/>
                <w:lang w:val="ru-RU"/>
              </w:rPr>
              <w:t>ӘрекетЕтуде</w:t>
            </w:r>
          </w:p>
          <w:p w14:paraId="207D02FA" w14:textId="7B008534" w:rsidR="001F021B" w:rsidRPr="00855F79" w:rsidRDefault="001F021B" w:rsidP="001F021B">
            <w:pPr>
              <w:rPr>
                <w:rFonts w:cs="AzoSans-Regular"/>
                <w:kern w:val="0"/>
                <w:sz w:val="24"/>
                <w:szCs w:val="24"/>
                <w:lang w:val="ru-RU"/>
              </w:rPr>
            </w:pPr>
            <w:r w:rsidRPr="00DD115C"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  <w:t>#VaccinesWork</w:t>
            </w:r>
            <w:r w:rsidRPr="00855F79">
              <w:rPr>
                <w:rFonts w:cs="AzoSans-Regular"/>
                <w:kern w:val="0"/>
                <w:sz w:val="24"/>
                <w:szCs w:val="24"/>
                <w:lang w:val="ru-RU"/>
              </w:rPr>
              <w:t xml:space="preserve"> #</w:t>
            </w:r>
            <w:r>
              <w:rPr>
                <w:rFonts w:cs="AzoSans-Regular"/>
                <w:kern w:val="0"/>
                <w:sz w:val="24"/>
                <w:szCs w:val="24"/>
              </w:rPr>
              <w:t>EIW</w:t>
            </w:r>
            <w:r w:rsidRPr="00855F79">
              <w:rPr>
                <w:rFonts w:cs="AzoSans-Regular"/>
                <w:kern w:val="0"/>
                <w:sz w:val="24"/>
                <w:szCs w:val="24"/>
                <w:lang w:val="ru-RU"/>
              </w:rPr>
              <w:t>202</w:t>
            </w:r>
            <w:r w:rsidR="001D0F39">
              <w:rPr>
                <w:rFonts w:cs="AzoSans-Regular"/>
                <w:kern w:val="0"/>
                <w:sz w:val="24"/>
                <w:szCs w:val="24"/>
                <w:lang w:val="ru-RU"/>
              </w:rPr>
              <w:t>5</w:t>
            </w:r>
          </w:p>
          <w:p w14:paraId="2AF0FAAC" w14:textId="77777777" w:rsidR="00F80844" w:rsidRDefault="00F80844" w:rsidP="004744FE">
            <w:pPr>
              <w:jc w:val="center"/>
              <w:rPr>
                <w:b/>
                <w:bCs/>
                <w:lang w:val="ru-RU"/>
              </w:rPr>
            </w:pPr>
          </w:p>
        </w:tc>
      </w:tr>
    </w:tbl>
    <w:p w14:paraId="551934F1" w14:textId="77777777" w:rsidR="004744FE" w:rsidRPr="004744FE" w:rsidRDefault="004744FE" w:rsidP="004744FE">
      <w:pPr>
        <w:rPr>
          <w:b/>
          <w:bCs/>
          <w:lang w:val="ru-RU"/>
        </w:rPr>
      </w:pPr>
    </w:p>
    <w:sectPr w:rsidR="004744FE" w:rsidRPr="004744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zoSans-Regular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16"/>
    <w:multiLevelType w:val="hybridMultilevel"/>
    <w:tmpl w:val="33885ADE"/>
    <w:lvl w:ilvl="0" w:tplc="4986E6D8">
      <w:numFmt w:val="bullet"/>
      <w:lvlText w:val="•"/>
      <w:lvlJc w:val="left"/>
      <w:pPr>
        <w:ind w:left="520" w:hanging="72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84"/>
        <w:sz w:val="24"/>
        <w:szCs w:val="24"/>
        <w:lang w:val="ru-RU" w:eastAsia="en-US" w:bidi="ar-SA"/>
      </w:rPr>
    </w:lvl>
    <w:lvl w:ilvl="1" w:tplc="A91079AC">
      <w:numFmt w:val="bullet"/>
      <w:lvlText w:val="•"/>
      <w:lvlJc w:val="left"/>
      <w:pPr>
        <w:ind w:left="1584" w:hanging="720"/>
      </w:pPr>
      <w:rPr>
        <w:rFonts w:hint="default"/>
        <w:lang w:val="ru-RU" w:eastAsia="en-US" w:bidi="ar-SA"/>
      </w:rPr>
    </w:lvl>
    <w:lvl w:ilvl="2" w:tplc="48D4581A">
      <w:numFmt w:val="bullet"/>
      <w:lvlText w:val="•"/>
      <w:lvlJc w:val="left"/>
      <w:pPr>
        <w:ind w:left="2648" w:hanging="720"/>
      </w:pPr>
      <w:rPr>
        <w:rFonts w:hint="default"/>
        <w:lang w:val="ru-RU" w:eastAsia="en-US" w:bidi="ar-SA"/>
      </w:rPr>
    </w:lvl>
    <w:lvl w:ilvl="3" w:tplc="420E654A">
      <w:numFmt w:val="bullet"/>
      <w:lvlText w:val="•"/>
      <w:lvlJc w:val="left"/>
      <w:pPr>
        <w:ind w:left="3712" w:hanging="720"/>
      </w:pPr>
      <w:rPr>
        <w:rFonts w:hint="default"/>
        <w:lang w:val="ru-RU" w:eastAsia="en-US" w:bidi="ar-SA"/>
      </w:rPr>
    </w:lvl>
    <w:lvl w:ilvl="4" w:tplc="5E4C22C2">
      <w:numFmt w:val="bullet"/>
      <w:lvlText w:val="•"/>
      <w:lvlJc w:val="left"/>
      <w:pPr>
        <w:ind w:left="4776" w:hanging="720"/>
      </w:pPr>
      <w:rPr>
        <w:rFonts w:hint="default"/>
        <w:lang w:val="ru-RU" w:eastAsia="en-US" w:bidi="ar-SA"/>
      </w:rPr>
    </w:lvl>
    <w:lvl w:ilvl="5" w:tplc="B11C0AFC">
      <w:numFmt w:val="bullet"/>
      <w:lvlText w:val="•"/>
      <w:lvlJc w:val="left"/>
      <w:pPr>
        <w:ind w:left="5840" w:hanging="720"/>
      </w:pPr>
      <w:rPr>
        <w:rFonts w:hint="default"/>
        <w:lang w:val="ru-RU" w:eastAsia="en-US" w:bidi="ar-SA"/>
      </w:rPr>
    </w:lvl>
    <w:lvl w:ilvl="6" w:tplc="E52A3D8E">
      <w:numFmt w:val="bullet"/>
      <w:lvlText w:val="•"/>
      <w:lvlJc w:val="left"/>
      <w:pPr>
        <w:ind w:left="6904" w:hanging="720"/>
      </w:pPr>
      <w:rPr>
        <w:rFonts w:hint="default"/>
        <w:lang w:val="ru-RU" w:eastAsia="en-US" w:bidi="ar-SA"/>
      </w:rPr>
    </w:lvl>
    <w:lvl w:ilvl="7" w:tplc="B9244DF2">
      <w:numFmt w:val="bullet"/>
      <w:lvlText w:val="•"/>
      <w:lvlJc w:val="left"/>
      <w:pPr>
        <w:ind w:left="7968" w:hanging="720"/>
      </w:pPr>
      <w:rPr>
        <w:rFonts w:hint="default"/>
        <w:lang w:val="ru-RU" w:eastAsia="en-US" w:bidi="ar-SA"/>
      </w:rPr>
    </w:lvl>
    <w:lvl w:ilvl="8" w:tplc="BE66F5E0">
      <w:numFmt w:val="bullet"/>
      <w:lvlText w:val="•"/>
      <w:lvlJc w:val="left"/>
      <w:pPr>
        <w:ind w:left="9032" w:hanging="72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AEE"/>
    <w:rsid w:val="00011DB2"/>
    <w:rsid w:val="00040757"/>
    <w:rsid w:val="00043B23"/>
    <w:rsid w:val="00057061"/>
    <w:rsid w:val="00083DC6"/>
    <w:rsid w:val="000A73BD"/>
    <w:rsid w:val="000C0B84"/>
    <w:rsid w:val="00133EE9"/>
    <w:rsid w:val="00153CC4"/>
    <w:rsid w:val="00156CBD"/>
    <w:rsid w:val="00165DCA"/>
    <w:rsid w:val="001A72E7"/>
    <w:rsid w:val="001D0F39"/>
    <w:rsid w:val="001D139C"/>
    <w:rsid w:val="001D6DA9"/>
    <w:rsid w:val="001E374C"/>
    <w:rsid w:val="001E3B7F"/>
    <w:rsid w:val="001F021B"/>
    <w:rsid w:val="00211043"/>
    <w:rsid w:val="00214826"/>
    <w:rsid w:val="00215191"/>
    <w:rsid w:val="00245350"/>
    <w:rsid w:val="002E6EA2"/>
    <w:rsid w:val="00301E5B"/>
    <w:rsid w:val="003513BD"/>
    <w:rsid w:val="003559C0"/>
    <w:rsid w:val="003742DD"/>
    <w:rsid w:val="00387BB1"/>
    <w:rsid w:val="003B4A02"/>
    <w:rsid w:val="003B6BF4"/>
    <w:rsid w:val="00430F1B"/>
    <w:rsid w:val="00433361"/>
    <w:rsid w:val="00460A8A"/>
    <w:rsid w:val="004744FE"/>
    <w:rsid w:val="00476FE8"/>
    <w:rsid w:val="004B3EA8"/>
    <w:rsid w:val="004E46C2"/>
    <w:rsid w:val="004E6EEC"/>
    <w:rsid w:val="004F3D89"/>
    <w:rsid w:val="00566B9D"/>
    <w:rsid w:val="00567195"/>
    <w:rsid w:val="005A2FC4"/>
    <w:rsid w:val="005B3B0B"/>
    <w:rsid w:val="005C264A"/>
    <w:rsid w:val="0060381E"/>
    <w:rsid w:val="00662578"/>
    <w:rsid w:val="006B57FC"/>
    <w:rsid w:val="006C2687"/>
    <w:rsid w:val="006D5C17"/>
    <w:rsid w:val="006F647D"/>
    <w:rsid w:val="007254B9"/>
    <w:rsid w:val="007A4E1D"/>
    <w:rsid w:val="007C1013"/>
    <w:rsid w:val="007E31AE"/>
    <w:rsid w:val="0080542E"/>
    <w:rsid w:val="00812D4A"/>
    <w:rsid w:val="00822AB9"/>
    <w:rsid w:val="00855F79"/>
    <w:rsid w:val="00881784"/>
    <w:rsid w:val="008B4A09"/>
    <w:rsid w:val="008D1E08"/>
    <w:rsid w:val="008D31A4"/>
    <w:rsid w:val="00910923"/>
    <w:rsid w:val="009942ED"/>
    <w:rsid w:val="009A6B2C"/>
    <w:rsid w:val="009B4842"/>
    <w:rsid w:val="009C0E20"/>
    <w:rsid w:val="009F43CB"/>
    <w:rsid w:val="00A109D8"/>
    <w:rsid w:val="00A370F9"/>
    <w:rsid w:val="00A67318"/>
    <w:rsid w:val="00A97579"/>
    <w:rsid w:val="00AC4B92"/>
    <w:rsid w:val="00AD6C88"/>
    <w:rsid w:val="00AE7BC3"/>
    <w:rsid w:val="00AF1354"/>
    <w:rsid w:val="00AF5754"/>
    <w:rsid w:val="00AF5DD0"/>
    <w:rsid w:val="00B04AEE"/>
    <w:rsid w:val="00B13DA4"/>
    <w:rsid w:val="00B159C5"/>
    <w:rsid w:val="00B35185"/>
    <w:rsid w:val="00B8105E"/>
    <w:rsid w:val="00B95441"/>
    <w:rsid w:val="00BA478E"/>
    <w:rsid w:val="00BB102D"/>
    <w:rsid w:val="00BF338C"/>
    <w:rsid w:val="00C67BD9"/>
    <w:rsid w:val="00CA0118"/>
    <w:rsid w:val="00CC5E15"/>
    <w:rsid w:val="00CC741F"/>
    <w:rsid w:val="00CF134A"/>
    <w:rsid w:val="00CF7A0D"/>
    <w:rsid w:val="00D54250"/>
    <w:rsid w:val="00D5741C"/>
    <w:rsid w:val="00D735DE"/>
    <w:rsid w:val="00DA7D01"/>
    <w:rsid w:val="00DD115C"/>
    <w:rsid w:val="00DE0460"/>
    <w:rsid w:val="00DE41E7"/>
    <w:rsid w:val="00DF7A4C"/>
    <w:rsid w:val="00E24CC5"/>
    <w:rsid w:val="00E62068"/>
    <w:rsid w:val="00E82487"/>
    <w:rsid w:val="00EB30C6"/>
    <w:rsid w:val="00EC058F"/>
    <w:rsid w:val="00EC3B53"/>
    <w:rsid w:val="00F032EF"/>
    <w:rsid w:val="00F03A8E"/>
    <w:rsid w:val="00F04561"/>
    <w:rsid w:val="00F60EC1"/>
    <w:rsid w:val="00F63CD0"/>
    <w:rsid w:val="00F8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F478FA"/>
  <w15:chartTrackingRefBased/>
  <w15:docId w15:val="{ECA168B3-7E80-495F-BE2C-1B62ECA74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4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11DB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11DB2"/>
    <w:rPr>
      <w:color w:val="605E5C"/>
      <w:shd w:val="clear" w:color="auto" w:fill="E1DFDD"/>
    </w:rPr>
  </w:style>
  <w:style w:type="paragraph" w:styleId="a6">
    <w:name w:val="List Paragraph"/>
    <w:basedOn w:val="a"/>
    <w:uiPriority w:val="1"/>
    <w:qFormat/>
    <w:rsid w:val="00AF5754"/>
    <w:pPr>
      <w:widowControl w:val="0"/>
      <w:autoSpaceDE w:val="0"/>
      <w:autoSpaceDN w:val="0"/>
      <w:spacing w:after="0" w:line="240" w:lineRule="auto"/>
      <w:ind w:left="880" w:hanging="360"/>
    </w:pPr>
    <w:rPr>
      <w:rFonts w:ascii="Tahoma" w:eastAsia="Tahoma" w:hAnsi="Tahoma" w:cs="Tahoma"/>
      <w:kern w:val="0"/>
      <w:lang w:val="ru-RU"/>
      <w14:ligatures w14:val="none"/>
    </w:rPr>
  </w:style>
  <w:style w:type="character" w:styleId="a7">
    <w:name w:val="FollowedHyperlink"/>
    <w:basedOn w:val="a0"/>
    <w:uiPriority w:val="99"/>
    <w:semiHidden/>
    <w:unhideWhenUsed/>
    <w:rsid w:val="00AE7B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1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050162-0039-4656-bfc4-4ff24dabe46b">
      <Terms xmlns="http://schemas.microsoft.com/office/infopath/2007/PartnerControls"/>
    </lcf76f155ced4ddcb4097134ff3c332f>
    <TaxCatchAll xmlns="5ad8305b-4a25-41aa-9a90-f984f23b5f0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A4BAC593F9734E9B200254789C2857" ma:contentTypeVersion="18" ma:contentTypeDescription="Create a new document." ma:contentTypeScope="" ma:versionID="c5a3e66b6b708988605a3de044859270">
  <xsd:schema xmlns:xsd="http://www.w3.org/2001/XMLSchema" xmlns:xs="http://www.w3.org/2001/XMLSchema" xmlns:p="http://schemas.microsoft.com/office/2006/metadata/properties" xmlns:ns2="5ad8305b-4a25-41aa-9a90-f984f23b5f02" xmlns:ns3="21050162-0039-4656-bfc4-4ff24dabe46b" targetNamespace="http://schemas.microsoft.com/office/2006/metadata/properties" ma:root="true" ma:fieldsID="01a004992deb4de466690830e5828008" ns2:_="" ns3:_="">
    <xsd:import namespace="5ad8305b-4a25-41aa-9a90-f984f23b5f02"/>
    <xsd:import namespace="21050162-0039-4656-bfc4-4ff24dabe46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8305b-4a25-41aa-9a90-f984f23b5f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1a8cbe7-35ba-47e0-811b-0c28a28daf21}" ma:internalName="TaxCatchAll" ma:showField="CatchAllData" ma:web="5ad8305b-4a25-41aa-9a90-f984f23b5f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50162-0039-4656-bfc4-4ff24dabe4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a4eac88-8ae6-4a96-90c7-97bc93c844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34CDCB-D9F9-4114-BF71-08C1A62FD0B3}">
  <ds:schemaRefs>
    <ds:schemaRef ds:uri="http://schemas.microsoft.com/office/2006/metadata/properties"/>
    <ds:schemaRef ds:uri="http://schemas.microsoft.com/office/infopath/2007/PartnerControls"/>
    <ds:schemaRef ds:uri="21050162-0039-4656-bfc4-4ff24dabe46b"/>
    <ds:schemaRef ds:uri="5ad8305b-4a25-41aa-9a90-f984f23b5f02"/>
  </ds:schemaRefs>
</ds:datastoreItem>
</file>

<file path=customXml/itemProps2.xml><?xml version="1.0" encoding="utf-8"?>
<ds:datastoreItem xmlns:ds="http://schemas.openxmlformats.org/officeDocument/2006/customXml" ds:itemID="{4D46EF8C-F146-482C-AE6D-41FEB43930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d8305b-4a25-41aa-9a90-f984f23b5f02"/>
    <ds:schemaRef ds:uri="21050162-0039-4656-bfc4-4ff24dabe4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E7D302-DF32-4EBF-B7DD-AABF18175C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KASSYMOVA, Saule</dc:creator>
  <cp:keywords/>
  <dc:description/>
  <cp:lastModifiedBy>robot 1</cp:lastModifiedBy>
  <cp:revision>3</cp:revision>
  <dcterms:created xsi:type="dcterms:W3CDTF">2025-04-28T04:40:00Z</dcterms:created>
  <dcterms:modified xsi:type="dcterms:W3CDTF">2025-04-28T04:41:00Z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1661a7ad261e1e75e6a7f3188955531180a1f001f510b6fb06970c1c36c064b4</vt:lpwstr>
  </property>
  <property fmtid="{D5CDD505-2E9C-101B-9397-08002B2CF9AE}" pid="3" name="ContentTypeId">
    <vt:lpwstr>0x010100C0A4BAC593F9734E9B200254789C2857</vt:lpwstr>
  </property>
</Properties>
</file>