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5B" w:rsidRPr="005E433F" w:rsidRDefault="0015705B" w:rsidP="0015705B">
      <w:pPr>
        <w:pStyle w:val="12112"/>
      </w:pPr>
      <w:r w:rsidRPr="005E433F">
        <w:t>Расчетная температура и кратность обмена воздуха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08"/>
        <w:gridCol w:w="2093"/>
        <w:gridCol w:w="1485"/>
        <w:gridCol w:w="1949"/>
      </w:tblGrid>
      <w:tr w:rsidR="0015705B" w:rsidRPr="0015705B" w:rsidTr="0015705B">
        <w:trPr>
          <w:trHeight w:val="20"/>
        </w:trPr>
        <w:tc>
          <w:tcPr>
            <w:tcW w:w="20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212"/>
            </w:pPr>
            <w:r w:rsidRPr="0015705B">
              <w:t>Помещения</w:t>
            </w:r>
          </w:p>
        </w:tc>
        <w:tc>
          <w:tcPr>
            <w:tcW w:w="11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212"/>
            </w:pPr>
            <w:r w:rsidRPr="0015705B">
              <w:t>Расчетная температура воздуха, °</w:t>
            </w:r>
            <w:proofErr w:type="gramStart"/>
            <w:r w:rsidRPr="0015705B">
              <w:t>С</w:t>
            </w:r>
            <w:proofErr w:type="gramEnd"/>
            <w:r w:rsidRPr="0015705B">
              <w:t>, не менее</w:t>
            </w:r>
          </w:p>
        </w:tc>
        <w:tc>
          <w:tcPr>
            <w:tcW w:w="1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212"/>
            </w:pPr>
            <w:r w:rsidRPr="0015705B">
              <w:t>Кратность обмена, не менее</w:t>
            </w:r>
          </w:p>
        </w:tc>
      </w:tr>
      <w:tr w:rsidR="0015705B" w:rsidRPr="0015705B" w:rsidTr="0015705B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5B" w:rsidRPr="0015705B" w:rsidRDefault="0015705B" w:rsidP="0015705B">
            <w:pPr>
              <w:pStyle w:val="12212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5B" w:rsidRPr="0015705B" w:rsidRDefault="0015705B" w:rsidP="0015705B">
            <w:pPr>
              <w:pStyle w:val="12212"/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212"/>
            </w:pPr>
            <w:r w:rsidRPr="0015705B">
              <w:t>Приток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212"/>
            </w:pPr>
            <w:r w:rsidRPr="0015705B">
              <w:t>Вытяжка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Групповые, раздевальные группы детей до 3 лет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22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 xml:space="preserve">Групповые, раздевальные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- групп детей 3–4 лет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 групп детей 4–6 (7) лет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21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20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1,5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 xml:space="preserve">Спальни: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- групп детей до 3 лет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 групп детей 3–6 (7) лет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22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19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1,5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 xml:space="preserve">Туалетные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- групп детей до 3 лет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 групп детей 3–6 (7) лет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22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20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1,5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Буфетные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Залы для музыкальных и гимнастических занятий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Медицинские помещения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22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 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Служебно-бытовые помещения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Кухня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15</w:t>
            </w:r>
          </w:p>
        </w:tc>
        <w:tc>
          <w:tcPr>
            <w:tcW w:w="18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По расчету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Стиральная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Гладильная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5</w:t>
            </w:r>
          </w:p>
        </w:tc>
      </w:tr>
      <w:tr w:rsidR="0015705B" w:rsidRPr="0015705B" w:rsidTr="0015705B">
        <w:trPr>
          <w:trHeight w:val="2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Физиотерапевтический кабинет, кабинет массажа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28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-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>1,5</w:t>
            </w:r>
          </w:p>
        </w:tc>
      </w:tr>
      <w:tr w:rsidR="0015705B" w:rsidRPr="0015705B" w:rsidTr="0015705B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705B" w:rsidRPr="0015705B" w:rsidRDefault="0015705B" w:rsidP="0015705B">
            <w:pPr>
              <w:pStyle w:val="12312"/>
            </w:pPr>
            <w:r w:rsidRPr="0015705B">
              <w:t xml:space="preserve">Примечания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1. В помещениях </w:t>
            </w:r>
            <w:proofErr w:type="gramStart"/>
            <w:r w:rsidRPr="0015705B">
              <w:t>стиральной</w:t>
            </w:r>
            <w:proofErr w:type="gramEnd"/>
            <w:r w:rsidRPr="0015705B">
              <w:t xml:space="preserve"> и гладильной следует осуществлять, как правило, механический поток и вытяжку воздуха.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2. В туалетных групп детей от 3 до 6 (7) лет вытяжку воздуха следует предусматривать из уборной. </w:t>
            </w:r>
          </w:p>
          <w:p w:rsidR="0015705B" w:rsidRPr="0015705B" w:rsidRDefault="0015705B" w:rsidP="0015705B">
            <w:pPr>
              <w:pStyle w:val="12312"/>
            </w:pPr>
            <w:r w:rsidRPr="0015705B">
              <w:t xml:space="preserve">3. </w:t>
            </w:r>
            <w:proofErr w:type="gramStart"/>
            <w:r w:rsidRPr="0015705B">
              <w:t>В</w:t>
            </w:r>
            <w:proofErr w:type="gramEnd"/>
            <w:r w:rsidRPr="0015705B">
              <w:t xml:space="preserve"> туалетных групповых ячеек, проектируемых без естественного освещения, вытяжка должна быть не менее трехкратной.</w:t>
            </w:r>
          </w:p>
        </w:tc>
      </w:tr>
    </w:tbl>
    <w:p w:rsidR="00BA2AF9" w:rsidRDefault="00BA2AF9"/>
    <w:sectPr w:rsidR="00BA2AF9" w:rsidSect="0054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15705B"/>
    <w:rsid w:val="00101610"/>
    <w:rsid w:val="0015705B"/>
    <w:rsid w:val="002504B3"/>
    <w:rsid w:val="003A214E"/>
    <w:rsid w:val="00515F5A"/>
    <w:rsid w:val="00542465"/>
    <w:rsid w:val="0054328E"/>
    <w:rsid w:val="00732309"/>
    <w:rsid w:val="00AF0095"/>
    <w:rsid w:val="00BA2AF9"/>
    <w:rsid w:val="00D350C4"/>
    <w:rsid w:val="00D908CC"/>
    <w:rsid w:val="00D9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212">
    <w:name w:val="СРДО_12.2_Таблица_шапка (СРДО_12_Таблица)"/>
    <w:basedOn w:val="a"/>
    <w:uiPriority w:val="11"/>
    <w:rsid w:val="0015705B"/>
    <w:pPr>
      <w:autoSpaceDE w:val="0"/>
      <w:autoSpaceDN w:val="0"/>
      <w:adjustRightInd w:val="0"/>
      <w:spacing w:after="0" w:line="228" w:lineRule="atLeast"/>
      <w:jc w:val="center"/>
      <w:textAlignment w:val="center"/>
    </w:pPr>
    <w:rPr>
      <w:rFonts w:ascii="SM-Myriad Pro" w:hAnsi="SM-Myriad Pro" w:cs="SM-Myriad Pro"/>
      <w:b/>
      <w:bCs/>
      <w:color w:val="000000"/>
      <w:sz w:val="19"/>
      <w:szCs w:val="19"/>
    </w:rPr>
  </w:style>
  <w:style w:type="paragraph" w:customStyle="1" w:styleId="12312">
    <w:name w:val="СРДО_12.3_Таблица_текст (СРДО_12_Таблица)"/>
    <w:basedOn w:val="a"/>
    <w:uiPriority w:val="11"/>
    <w:rsid w:val="0015705B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 w:cs="SM-Myriad Pro"/>
      <w:color w:val="000000"/>
      <w:sz w:val="18"/>
      <w:szCs w:val="18"/>
    </w:rPr>
  </w:style>
  <w:style w:type="paragraph" w:customStyle="1" w:styleId="12112">
    <w:name w:val="СРДО_12.1_Заголовок_таблицы (СРДО_12_Таблица)"/>
    <w:basedOn w:val="a"/>
    <w:uiPriority w:val="11"/>
    <w:rsid w:val="0015705B"/>
    <w:pPr>
      <w:autoSpaceDE w:val="0"/>
      <w:autoSpaceDN w:val="0"/>
      <w:adjustRightInd w:val="0"/>
      <w:spacing w:before="227" w:after="113" w:line="264" w:lineRule="atLeast"/>
      <w:ind w:left="567" w:right="567"/>
      <w:jc w:val="center"/>
      <w:textAlignment w:val="center"/>
    </w:pPr>
    <w:rPr>
      <w:rFonts w:ascii="SM-Myriad Pro" w:hAnsi="SM-Myriad Pro" w:cs="SM-Myriad Pro"/>
      <w:b/>
      <w:bCs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Терещенко</dc:creator>
  <cp:lastModifiedBy>Direktor</cp:lastModifiedBy>
  <cp:revision>2</cp:revision>
  <dcterms:created xsi:type="dcterms:W3CDTF">2023-11-18T14:42:00Z</dcterms:created>
  <dcterms:modified xsi:type="dcterms:W3CDTF">2023-11-18T14:42:00Z</dcterms:modified>
</cp:coreProperties>
</file>