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1bbc" w14:textId="3201bbc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проекте Указа Президента Республики Казахстан "О внесении изменений и дополнений в Указ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11 декабря 2014 года № 1297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Правительство Республики Казахстан </w:t>
      </w:r>
      <w:r>
        <w:rPr>
          <w:rFonts w:ascii="Consolas"/>
          <w:b/>
          <w:i w:val="false"/>
          <w:color w:val="000000"/>
          <w:sz w:val="20"/>
        </w:rPr>
        <w:t>ПОСТАНОВЛЯЕТ: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внести на рассмотрение Президента Республики Казахстан проект Указа Президента Республики Казахстан «О внесении изменений и дополнений в Указ Президента Республики Казахстан от 7 декабря 2010 года № 1118 «Об утверждении Государственной программы развития образования Республики Казахстан на 2011г -2020 годы».</w:t>
      </w:r>
    </w:p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Премьер-Министр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Consolas"/>
          <w:b/>
          <w:i w:val="false"/>
          <w:color w:val="000000"/>
        </w:rPr>
        <w:t>
Республики Казахстан от 7 декабря 2010 года № 1118 «Об</w:t>
      </w:r>
      <w:r>
        <w:br/>
      </w:r>
      <w:r>
        <w:rPr>
          <w:rFonts w:ascii="Consolas"/>
          <w:b/>
          <w:i w:val="false"/>
          <w:color w:val="000000"/>
        </w:rPr>
        <w:t>
утверждении Государственной программы развития образования</w:t>
      </w:r>
      <w:r>
        <w:br/>
      </w:r>
      <w:r>
        <w:rPr>
          <w:rFonts w:ascii="Consolas"/>
          <w:b/>
          <w:i w:val="false"/>
          <w:color w:val="000000"/>
        </w:rPr>
        <w:t>
Республики Казахстан на 2011 - 2020 годы»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ПОСТАНОВЛЯЮ: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 Внести в </w:t>
      </w:r>
      <w:r>
        <w:rPr>
          <w:rFonts w:ascii="Consolas"/>
          <w:b w:val="false"/>
          <w:i w:val="false"/>
          <w:color w:val="000000"/>
          <w:sz w:val="20"/>
        </w:rPr>
        <w:t>Указ</w:t>
      </w:r>
      <w:r>
        <w:rPr>
          <w:rFonts w:ascii="Consolas"/>
          <w:b w:val="false"/>
          <w:i w:val="false"/>
          <w:color w:val="000000"/>
          <w:sz w:val="20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2011 - 2020 годы» (САПП Республики Казахстан, 2011 г., № 5, ст. 49) следующие изменения и дополнения: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Государственной программе развития образования Республики Казахстан на 2011 - 2020 годы, утвержденной вышеназванным Указом: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разделе «1. Паспорт Программы»: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«Задачах»: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четырнадцатый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«осуществление перехода на 12-летнюю модель обучения с последовательным обновлением содержания образования;»;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«Целевых индикаторах»: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седьмой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«осуществлен последовательный переход на 12-летнюю модель обучения с 1-го класса;»;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разделе «4. Цели, задачи, целевые индикаторы и показатели результатов реализации программы»: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«Целевые индикаторы:»: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2"/>
        <w:gridCol w:w="2271"/>
        <w:gridCol w:w="1469"/>
        <w:gridCol w:w="2188"/>
      </w:tblGrid>
      <w:tr>
        <w:trPr>
          <w:trHeight w:val="990" w:hRule="atLeast"/>
        </w:trPr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 организациях образования созданы попечительские советы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240" w:hRule="atLeast"/>
        </w:trPr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руководители организаций образования прошли повышение квалификации и переподготовку в области менеджмента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29%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65" w:hRule="atLeast"/>
        </w:trPr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организациях образования используется система электронного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2"/>
        <w:gridCol w:w="1804"/>
        <w:gridCol w:w="2102"/>
        <w:gridCol w:w="2102"/>
      </w:tblGrid>
      <w:tr>
        <w:trPr>
          <w:trHeight w:val="480" w:hRule="atLeast"/>
        </w:trPr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организациях образования созданы попечительские советы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47,3%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60,7%</w:t>
            </w:r>
          </w:p>
        </w:tc>
      </w:tr>
      <w:tr>
        <w:trPr>
          <w:trHeight w:val="2010" w:hRule="atLeast"/>
        </w:trPr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руководители организаций образования прошли повышение квалификации в области менеджмента и по программе повышения квалификации руководителей общеобразовательных организаций Республики Казахстан, разработанной АОО «НИШ» совместно с Кембриджским университетом (1 раз в 5 лет)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65" w:hRule="atLeast"/>
        </w:trPr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организациях образования используется система электронного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14,2%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9"/>
        <w:gridCol w:w="1674"/>
        <w:gridCol w:w="2088"/>
        <w:gridCol w:w="2149"/>
      </w:tblGrid>
      <w:tr>
        <w:trPr>
          <w:trHeight w:val="46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2020 году осуществлен полный переход на 12-летнюю модель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1,5,11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1-10, 12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классы</w:t>
            </w:r>
          </w:p>
        </w:tc>
      </w:tr>
      <w:tr>
        <w:trPr>
          <w:trHeight w:val="70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школ в рамках проекта «Назарбаев Интеллектуальные школы» во всех регионах Казахстана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8"/>
        <w:gridCol w:w="1674"/>
        <w:gridCol w:w="2089"/>
        <w:gridCol w:w="2119"/>
      </w:tblGrid>
      <w:tr>
        <w:trPr>
          <w:trHeight w:val="705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2015 года начат последовательный переход на 12-летнюю модель обучения: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классы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(апробация)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1,2,3,4,5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классы</w:t>
            </w:r>
          </w:p>
        </w:tc>
      </w:tr>
      <w:tr>
        <w:trPr>
          <w:trHeight w:val="48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Назарбаев Интеллектуальных школ во всех регионах Казахстана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4"/>
        <w:gridCol w:w="2038"/>
        <w:gridCol w:w="1889"/>
        <w:gridCol w:w="2069"/>
      </w:tblGrid>
      <w:tr>
        <w:trPr>
          <w:trHeight w:val="93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результаты учащихся казахстанской общеобразовательной школы в международных сравнительных исследованиях PISA, TIMSS, PIRLS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7-11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PISA: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PISA: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40-45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10-12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PIRLS: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10-15 место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4"/>
        <w:gridCol w:w="1829"/>
        <w:gridCol w:w="2033"/>
        <w:gridCol w:w="2324"/>
      </w:tblGrid>
      <w:tr>
        <w:trPr>
          <w:trHeight w:val="4050" w:hRule="atLeast"/>
        </w:trPr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результаты учащихся казахстанской общеобразовательной школы в международных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сравнительных исследованиях PISA, TIMSS, PIRLS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7-11 место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PISA: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450 баллов,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500 баллов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для 4-х и 8-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х классов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PISA-2018: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480 баллов,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TIMSS-2019: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520 баллов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для 4-х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8-х классов,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PIRLS-2016: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менее 450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баллов,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ICILS-2018: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менее 450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9"/>
        <w:gridCol w:w="2076"/>
        <w:gridCol w:w="1868"/>
        <w:gridCol w:w="2107"/>
      </w:tblGrid>
      <w:tr>
        <w:trPr>
          <w:trHeight w:val="1395" w:hRule="atLeast"/>
        </w:trPr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80%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2"/>
        <w:gridCol w:w="1863"/>
        <w:gridCol w:w="2072"/>
        <w:gridCol w:w="2103"/>
      </w:tblGrid>
      <w:tr>
        <w:trPr>
          <w:trHeight w:val="1185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95%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3"/>
        <w:gridCol w:w="2025"/>
        <w:gridCol w:w="1876"/>
        <w:gridCol w:w="2116"/>
      </w:tblGrid>
      <w:tr>
        <w:trPr>
          <w:trHeight w:val="915" w:hRule="atLeast"/>
        </w:trPr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выпускников вузов, обучившихся по госзаказу, трудоустроенных по специальности в первый год после окончания вуза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65" w:hRule="atLeast"/>
        </w:trPr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вузов Казахстана, отмеченных в рейтинге лучших мировых университетов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9"/>
        <w:gridCol w:w="1787"/>
        <w:gridCol w:w="2217"/>
        <w:gridCol w:w="2237"/>
      </w:tblGrid>
      <w:tr>
        <w:trPr>
          <w:trHeight w:val="90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выпускников высших учебных заведений, обучившихся по госзаказу, трудоустроенных по специальности в первый год после окончания вуза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82%</w:t>
            </w:r>
          </w:p>
        </w:tc>
      </w:tr>
      <w:tr>
        <w:trPr>
          <w:trHeight w:val="915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вузов Казахстана, отмеченных в рейтинге лучших мировых университетов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QS рейтинг «ТОП-600+»: 2 вуза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QS рейтинг «ТОП-600+»: 4 вуза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«Достижения задач будут измеряться следующими показателями:»: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4"/>
        <w:gridCol w:w="1538"/>
        <w:gridCol w:w="1830"/>
        <w:gridCol w:w="1830"/>
        <w:gridCol w:w="2298"/>
      </w:tblGrid>
      <w:tr>
        <w:trPr>
          <w:trHeight w:val="465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педагогов профильной школы, имеющих степень магистра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менее 10%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менее 20%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1155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молодых специалистов, вновь прибывших для работы в организации образования в текущем году, от общего количества педагогов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2,6%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4,5%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4"/>
        <w:gridCol w:w="1538"/>
        <w:gridCol w:w="1830"/>
        <w:gridCol w:w="1830"/>
        <w:gridCol w:w="2298"/>
      </w:tblGrid>
      <w:tr>
        <w:trPr>
          <w:trHeight w:val="1155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педагогов начальных классов, прошедших курсы повышения квалификации по вопросам обновления содержания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117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молодых специалистов, прибывших для работы в организации образования в текущем году, от общего количества педагогов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2,6%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4,5 %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1515"/>
        <w:gridCol w:w="1837"/>
        <w:gridCol w:w="1838"/>
        <w:gridCol w:w="2308"/>
      </w:tblGrid>
      <w:tr>
        <w:trPr>
          <w:trHeight w:val="915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специалистов системы повышения квалификации с академическими и учеными степенями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3,4%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5%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ППС системы повышения квалификации с академическими и учеными степенями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3,4%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37,5%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6"/>
        <w:gridCol w:w="1459"/>
        <w:gridCol w:w="1783"/>
        <w:gridCol w:w="1989"/>
        <w:gridCol w:w="2313"/>
      </w:tblGrid>
      <w:tr>
        <w:trPr>
          <w:trHeight w:val="345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внедрение принципов корпоративного управления в гражданских вузах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44%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6"/>
        <w:gridCol w:w="1459"/>
        <w:gridCol w:w="1783"/>
        <w:gridCol w:w="1989"/>
        <w:gridCol w:w="2313"/>
      </w:tblGrid>
      <w:tr>
        <w:trPr>
          <w:trHeight w:val="705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внедрение принципов корпоративного управления в гражданских вузах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44%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1"/>
        <w:gridCol w:w="1682"/>
        <w:gridCol w:w="1709"/>
        <w:gridCol w:w="1790"/>
        <w:gridCol w:w="2598"/>
      </w:tblGrid>
      <w:tr>
        <w:trPr>
          <w:trHeight w:val="465" w:hRule="atLeast"/>
        </w:trPr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школ, ведущих занятия в три смены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0,9%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0,2%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1"/>
        <w:gridCol w:w="1682"/>
        <w:gridCol w:w="1709"/>
        <w:gridCol w:w="1790"/>
        <w:gridCol w:w="2598"/>
      </w:tblGrid>
      <w:tr>
        <w:trPr>
          <w:trHeight w:val="465" w:hRule="atLeast"/>
        </w:trPr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школ, ведущих занятия в три смены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0,9%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0,8%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0"/>
        <w:gridCol w:w="1355"/>
        <w:gridCol w:w="1622"/>
        <w:gridCol w:w="1623"/>
        <w:gridCol w:w="3470"/>
      </w:tblGrid>
      <w:tr>
        <w:trPr>
          <w:trHeight w:val="114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охват обучающихся детско-юношескими спортивными школами от общего количества обучающихся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8%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14,5%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</w:tr>
      <w:tr>
        <w:trPr>
          <w:trHeight w:val="24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детей школьного возраста, охваченных художественным, музыкальным, техническим, научным творчеством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21,5%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23%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38%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400"/>
        <w:gridCol w:w="1695"/>
        <w:gridCol w:w="1724"/>
        <w:gridCol w:w="2813"/>
      </w:tblGrid>
      <w:tr>
        <w:trPr>
          <w:trHeight w:val="91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охват обучающихся детско-юношескими спортивными школами от общего количества обучающихся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14,5 %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МКС</w:t>
            </w:r>
          </w:p>
        </w:tc>
      </w:tr>
      <w:tr>
        <w:trPr>
          <w:trHeight w:val="114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детей, охваченных дополнительным образованием, от общего количества школьников в организациях общего среднего и дополнительного образования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21,5%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3"/>
        <w:gridCol w:w="1456"/>
        <w:gridCol w:w="1779"/>
        <w:gridCol w:w="1779"/>
        <w:gridCol w:w="2543"/>
      </w:tblGrid>
      <w:tr>
        <w:trPr>
          <w:trHeight w:val="1380" w:hRule="atLeast"/>
        </w:trPr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детей, охваченных инклюзивным образованием, от общего количества детей с ограниченными возможностями в развитии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9%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9"/>
        <w:gridCol w:w="1482"/>
        <w:gridCol w:w="1805"/>
        <w:gridCol w:w="1746"/>
        <w:gridCol w:w="2538"/>
      </w:tblGrid>
      <w:tr>
        <w:trPr>
          <w:trHeight w:val="138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детей, охваченных инклюзивным образованием, от общего количества детей с ограниченными возможностями в развитии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9%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МЗСР,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4"/>
        <w:gridCol w:w="1397"/>
        <w:gridCol w:w="1720"/>
        <w:gridCol w:w="1721"/>
        <w:gridCol w:w="2778"/>
      </w:tblGrid>
      <w:tr>
        <w:trPr>
          <w:trHeight w:val="165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специальностей ТиПО, обеспеченных профессиональными стандартами, от общего количества специальностей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отраслевые министерства,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ассоциации работодателей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400"/>
        <w:gridCol w:w="1695"/>
        <w:gridCol w:w="1724"/>
        <w:gridCol w:w="2813"/>
      </w:tblGrid>
      <w:tr>
        <w:trPr>
          <w:trHeight w:val="24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специальностей ТиПО, обеспеченных профессиональными стандартами, от общего количества специальностей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МЗСР,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отраслевые министерства,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ассоциации работодателей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371"/>
        <w:gridCol w:w="1665"/>
        <w:gridCol w:w="1695"/>
        <w:gridCol w:w="2901"/>
      </w:tblGrid>
      <w:tr>
        <w:trPr>
          <w:trHeight w:val="112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интегрированных образовательных учебных программ, разработанных с участием работодателей и международных экспертов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ассоциации работодателей</w:t>
            </w:r>
          </w:p>
        </w:tc>
      </w:tr>
      <w:tr>
        <w:trPr>
          <w:trHeight w:val="159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обучающихся, обеспеченных местами для прохождения практики на базе предприятий, от общего количества обучаемых за счет госзаказа в учебных заведениях ТиПО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МОН, отраслевые министерства, ассоциации работодателей, Союз «Атамекен»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2"/>
        <w:gridCol w:w="1216"/>
        <w:gridCol w:w="1538"/>
        <w:gridCol w:w="1538"/>
        <w:gridCol w:w="3526"/>
      </w:tblGrid>
      <w:tr>
        <w:trPr>
          <w:trHeight w:val="18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интегрированных образовательных учебных программ технического и профессионального образования, разработанных с участием работодателей и международных экспертов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МИО, ассоциации работодателей, Национальная палата предпринимателей</w:t>
            </w:r>
          </w:p>
        </w:tc>
      </w:tr>
      <w:tr>
        <w:trPr>
          <w:trHeight w:val="184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обучающихся, обеспеченных местами для прохождения практики на базе предприятий, от общего количества обучаемых за счет госзаказа в учебных заведениях ТиПО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87%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МОН, отраслевые министерства, ассоциации работодателей, Национальная палата предпринимателей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2015"/>
        <w:gridCol w:w="1954"/>
        <w:gridCol w:w="2238"/>
        <w:gridCol w:w="1895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охват молодежи типичного возраста техническим и профессиональным образованием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17,6%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23%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2015"/>
        <w:gridCol w:w="1954"/>
        <w:gridCol w:w="2238"/>
        <w:gridCol w:w="1895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охват молодежи типичного возраста техническим и профессиональным образованием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17,6%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16,8%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17,8%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2"/>
        <w:gridCol w:w="1505"/>
        <w:gridCol w:w="1183"/>
        <w:gridCol w:w="1546"/>
        <w:gridCol w:w="1264"/>
      </w:tblGrid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вновь введенных мест в общежитиях для обучающихся ТиПО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1300 мест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1500 мест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учебных заведений ТиПО, оснащенных современным обучающим оборудованием, от их общего количества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2"/>
        <w:gridCol w:w="1505"/>
        <w:gridCol w:w="1183"/>
        <w:gridCol w:w="1546"/>
        <w:gridCol w:w="1264"/>
      </w:tblGrid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вновь введенных мест в общежитиях для обучающихся ТиПО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2480 мест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2408 мест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учебных заведений ТиПО, оснащенных современным обучающим оборудованием, от их общего количества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55,7%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дополнить строкой следующего содержания: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5"/>
        <w:gridCol w:w="1450"/>
        <w:gridCol w:w="1801"/>
        <w:gridCol w:w="1772"/>
        <w:gridCol w:w="2532"/>
      </w:tblGrid>
      <w:tr>
        <w:trPr>
          <w:trHeight w:val="825" w:hRule="atLeast"/>
        </w:trPr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учебных заведений ТиПО, внедривших основные принципы дуального обучения, от их общего числа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48%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МОН, МЗСР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строки: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1518"/>
        <w:gridCol w:w="1841"/>
        <w:gridCol w:w="1842"/>
        <w:gridCol w:w="2313"/>
      </w:tblGrid>
      <w:tr>
        <w:trPr>
          <w:trHeight w:val="135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2015 года стипендиаты программы «Болашак» обучаются в магистратуре, докторантуре, в бакалавриате - от одного семестра до одного академического года, проходят научные стажировки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69%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69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вузов, имеющих доступ к Республиканской межвузовской электронной библиотеке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26%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1547"/>
        <w:gridCol w:w="1841"/>
        <w:gridCol w:w="1813"/>
        <w:gridCol w:w="2313"/>
      </w:tblGrid>
      <w:tr>
        <w:trPr>
          <w:trHeight w:val="135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2015 года стипендиаты программы «Болашак» обучаются в магистратуре, докторантуре, резидентуре, проходят стажировки (присуждение не более 900 стипендий в год)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69%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69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вузов, имеющих доступ к Республиканской межвузовской электронной библиотеке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26%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4"/>
        <w:gridCol w:w="1485"/>
        <w:gridCol w:w="1808"/>
        <w:gridCol w:w="1750"/>
        <w:gridCol w:w="2543"/>
      </w:tblGrid>
      <w:tr>
        <w:trPr>
          <w:trHeight w:val="1365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вузов, создавших структурные подразделения научных и проектно-конструкторских организаций, от их общего количества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1155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выпускников вузов, закончивших магистратуру и докторантуру, трудоустроенных в вузы и научные организации в первый год после окончания вуза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4"/>
        <w:gridCol w:w="1485"/>
        <w:gridCol w:w="1808"/>
        <w:gridCol w:w="1750"/>
        <w:gridCol w:w="2543"/>
      </w:tblGrid>
      <w:tr>
        <w:trPr>
          <w:trHeight w:val="270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вузов, создавших структурные подразделения научных и проектно-конструкторских организаций, от общего количества гражданских вузов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</w:t>
            </w:r>
          </w:p>
        </w:tc>
      </w:tr>
      <w:tr>
        <w:trPr>
          <w:trHeight w:val="270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выпускников вузов, закончивших магистратуру и докторантуру, трудоустроенных в вузы и научные организации в первый год после окончания вуза, в том числе по специальности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строку: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8"/>
        <w:gridCol w:w="1400"/>
        <w:gridCol w:w="1694"/>
        <w:gridCol w:w="1754"/>
        <w:gridCol w:w="2754"/>
      </w:tblGrid>
      <w:tr>
        <w:trPr>
          <w:trHeight w:val="1665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 ед.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ед.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работодатели,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МТСЗН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4"/>
        <w:gridCol w:w="1515"/>
        <w:gridCol w:w="1603"/>
        <w:gridCol w:w="1750"/>
        <w:gridCol w:w="2748"/>
      </w:tblGrid>
      <w:tr>
        <w:trPr>
          <w:trHeight w:val="1515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ед.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работодатели,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МЗСР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разделе «5. Основные направления, пути достижения поставленных целей программы и соответствующие меры»: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подразделе «Статус педагога»: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«Обеспечение системы образования высококвалифицированными кадрами»: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третий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«в рамках международной стипендии Президента Республики Казахстан «Болашак» будет обеспечена подготовка англоязычных педагогических кадров для среднего, технического и профессионального, высшего и послевузовского образования;»;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седьмой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«Педагогические кадры системы дошкольного, общего среднего, технического и профессионального образования будут проходить краткосрочные курсы повышения квалификации, в том числе по обновлению содержания, а также по уровневым программам.»;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абзацы одиннадцатый, двенадцатый, тринадцатый, четырнадцатый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«Ежегодно будет выделяться государственный заказ на повышение квалификации педагогических кадров системы дошкольного и среднего образования, в том числе специалистов для: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интегрированного обучения детей дошкольного и школьного возраста (инклюзивное образование);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работы с детьми с ограниченными возможностями;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реализации общеобразовательных программ.»;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«Усиление государственной поддержки и стимулирование труда педагогических работников»: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шестнадцатый исключить;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подразделе «Менеджмент образования»: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«Целевые индикаторы»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«Целевые индикаторы: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организациях образования созданы попечительские советы (2015 г. — 47,3%, 2020 г. - 60,7%).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Руководители организаций образования прошли повышение квалификации в области менеджмента и по программе повышения квалификации руководителей общеобразовательных организаций Республики Казахстан, разработанной АОО «НИШ» совместно с Кембриджским университетом (1 раз в 5 лет). (2015 г. - 100%, 2020 г. - 80%).»;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«Система управления образованием»: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тринадцатый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«Для внедрения современных технологий менеджмента руководители организаций образования 1 раз в 5 лет будут проходить повышение квалификации в области менеджмента и По программе повышения квалификации руководителей общеобразовательных организаций Республики Казахстан, разработанной АОО «НИШ» совместно с Кембриджским университетом.»;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семнадцатый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«Для обеспечения прозрачности деятельности организаций образования и уменьшения процента коррупции в вузах будут проводиться социологические исследования и акции.»;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«Электронное обучение «e-learning»: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«Цель»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Развитие у учеников навыков, необходимых в XXI веке, включающих информационную и медиаграмотность, критическое мышление, исследовательские навыки, способность к решению творческих задач, умение работать в команде, самостоятельность, гражданскую ответственность, путем формирования информационно-коммуникационной образовательной среды.»;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«Задачи»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«Задачи: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 Совершенствовать нормативно-правовое обеспечение в части ЭО.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Разработать цифровые образовательные ресурсы на трех языках с приоритетом на государственном языке для сопровождения учебно-воспитательного процесса средней школы.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Организовать сетевое взаимодействие и сотрудничество между всеми участниками образовательного процесса.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 Повышать эффективность управления образованием через развитие структуры информационно-образовательной среды.»;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«Целевой индикатор»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«Целевой индикатор: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организациях образования используется система электронного обучения (2015г. - 14,2%, 2020г. - 90%).»;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главу «Внедрение электронного обучения»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«В результате внедрения ЭО будет приведена в соответствие нормативно-правовая база для обеспечения функционирования СЭО. Также будет осуществлена интеграция ЭО в новое содержание образования и создан Национальный каталог ЦОР, включающий в себя широкий спектр качественных ресурсов, с приоритетом на государственном языке, необходимых для реализации учебно-воспитательного процесса средней школы.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Всем участникам образовательного процесса будет обеспечен равный доступ к открытым образовательным ресурсам и технологиям и созданы условия для сетевого взаимодействия участников и автоматизированы процессы управления системой среднего образования в стране и создана техническая инфраструктура средних школ в соответствии с базовым стандартом оснащения.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Каждый участник образовательного процесса получит доступ к ресурсам и инструментарию качественного образования, овладеет соответствующими компетенциями.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результате обеспечения доступности и открытости образования каждый ученик будет иметь возможность доступа к широкому спектру ЦОР из любого места, где есть выход в Интернет, что способствует расширению изучаемой информации и повышению интенсивности обучения. Будут созданы равные возможности получения образования независимо от места проживания, состояния здоровья, элитарности и материальной обеспеченности ученика. Каждый ученик сможет сам определять темп обучения, не привязываться ко времени занятия и учителю за счет обеспечения персонализации процессов обучения.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рамках внедрения электронного обучения учебный процесс становится средой «погружения» поисковой деятельности для ученика, где учитель выступает в роли фасилитатора, реализуется педагогическое взаимодействие по схеме «субъект - субъект». Учитель будет освобожден от функций передатчика информации, консультанта и координатора, что освободит время для индивидуальной дополнительной работы с учениками.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Для учителя появится возможность использовать и тиражировать передовой опыт в области обучения за счет применения распределенных обучающих систем и единых стандартов.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За счет расширения доступа к качественному образованию повышается степень удовлетворенности образовательными услугами, а также информированность и участие в образовательном процессе и родителей учеников.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Образовательные услуги будут предоставлены более широкому кругу людей. Будут обеспечены автоматизация процессов управления системой образования и централизованное повышение квалификации кадров без отрыва от производственной деятельности, независимо от удаленности учебного центра.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Будут созданы возможности для консолидации усилий всех сторон, заинтересованных в качественном образовании, повышена социальная ответственность различных сообществ, обеспечена открытость образовательных систем и транспарентность результатов деятельности учеников и педагогов.»;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подразделе «Дошкольное воспитание и обучение»: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«Цель»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Удовлетворение потребности населения в качественных услугах организаций дошкольного воспитания и обучения.»;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«Задачи»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«Задачи: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 Обеспечение до 2015 года полного охвата детей 5-6 летнего возраста предшкольной подготовкой.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Обеспечение равного доступа детей к различным программам дошкольного воспитания и обучения для их подготовки к школе.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Увеличение вариативной сети дошкольных организаций с учетом демографической ситуации в республике и образовательных потребностей населения.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 Создание необходимых финансово-экономических условий для решения проблем дефицита дошкольных организаций.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 Осуществление полного обеспечения дошкольных организаций квалифицированными кадрами и постоянное повышение их квалификации.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6. Развитие инклюзивного образования (оснащение дошкольных организаций пандусами, подъездами, подъемниками, лифтами и другими приспособлениями).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7. Обновление содержания воспитания и обучения за счет внедрения новых методик и технологий обучения.»;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«Целевой индикатор»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«Целевой индикатор: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Охват дошкольным воспитанием и обучением детей в возрасте от 3 до 6 лет (2015 г. - 77,7%, 2020 г. - 100%).»;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«Увеличение сети дошкольных организаций»: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второй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«Будет расширяться сеть кабинетов психолого-педагогической коррекции (КППК) для оказания коррекционно-педагогической поддержки детям с раннего возраста. До 2015 года сеть кабинетов психолого-педагогической коррекции (КППК) возрастет с 8% до 30% от общего количества детских садов.»;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«Обновление содержания, обеспечение кадрами»: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девятый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«увеличится до 100% охват детей с 3-х до 6 лет дошкольным воспитанием и обучением;»;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подразделе «Среднее образование»: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«Целевые индикаторы:»: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абзацы первый, второй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«С 2015 году начат последовательный переход на 12-летнюю модель обучения (2015 г. - 1 классы (апробация), 2020 г. - 1, 2, 3, 4, 5 классы).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Количество Назарбаев Интеллектуальных школ во всех регионах Казахстана (2015 г. - 20 ед., 2020 г. - 20 ед.).»;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четвертый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«Результаты учащихся казахстанской общеобразовательной школы в международных сравнительных исследованиях PISA, TIMSS, PIRLS (2015 г.: PISA: не менее 450 баллов, TIMSS: не менее 500 баллов для 4-х и 8-х классов, 2020 г.: PISA-2018: не менее 480 баллов, TIMSS- 2019: не менее 520 баллов для 4-х и 8-х классов, PIRLS-2016: не менее 450 баллов, ICILS-2018: не менее 450 баллов).»;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часть «Переход на 12-летнюю модель образования»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«Переход на 12-летнюю модель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целях перехода на 12-летнюю модель среднего образования планируется разработать и внедрить государственные общеобязательные стандарты, на основе которых будет осуществлено обновление структуры и содержания среднего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Базовый принцип нового ГОСО - определение ценностей как основ для обновления содержания среднего образования и организации образовательного процесса в школе.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Ценности среднего образования должны стать жизненными ориентирами личности учащегося, мотивирующими поведение и созидательную деятельность, ведущим фактором в формировании личности человека, умеющего реализовывать себя, улучшать качество своей жизни и окружающей среды.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Среднее образование, основанное на ценностях, ориентировано на создание условий для развития интеллектуально, физически и духовно развитого гражданина Республики Казахстан, удовлетворения его потребности в получении образования, обеспечивающего успех в быстро меняющемся мире, и тем самым формирования конкурентоспособного человеческого капитала для экономического благополучия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Реализация данной миссии среднего образования будет создавать предпосылки для укрепления нравственных ценностей, национально-культурных традиций и обеспечения преемственности поколений, а также становления личности, способной нести ответственность за свою Родину.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условиях ценностного образования школа должна вносить вклад в реализацию общенациональных идей, консолидирующих народ Казахстана, прививать патриотические чувства и способствовать воспитанию их открытыми, доброжелательными гражданами своей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Выпускники системы среднего образования должны быть не только функционально грамотными, но и способными: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проявлять ответственность, активную гражданскую позицию и вносить вклад в развитие своей страны;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уважать разнообразие культур и мнений;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творчески и критически мыслить;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быть коммуникативными и дружелюбными;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быть социально-ответственными и заботливыми;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эффективно использовать информационно-коммуникационные средства и технологии;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7) быть готовыми к обучению на протяжении всей жизни.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Начиная с 2016 по 2017 годы, будут последовательно внедрены ГОСО и учебные программы начального образования, основного среднего образования и общего среднего образования на основе трансляции опыта Назарбаев интеллектуальных школ с учетом результатов научных исследований, лучшей педагогической практики и эксперимента по переходу на 12-летнее образование.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Будет обеспечена преемственность всех уровней образования на основе интеграции их содержания и его модульного построения, ориентации результатов обучения на достижение навыков широкого спектра и их измерения через критериальную систему оценивания.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Наряду с переходом на 12-летнюю модель среднего образования предполагается частичное обновление содержания 11-летней модели среднего образования. Учащиеся, обучающиеся по действующей 11-летней модели образования, должны обладать навыками, необходимыми для успешной жизнедеятельности в XXI веке.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Будут разработаны учебные программы и планы по предметам: «Казахский язык» (T1, Т2), «Русский язык» (Я1, Я2), «Английский язык», «Информатика», «Проектная деятельность» (6-9 класс), «Глобальные перспективы и проектная деятельность» (10-11 класс). В 2015 году планируется их апробация, а в 2016 году - внедрение в действующую модель 11-летней школы.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ГОСО общего среднего образования будут интегрированы с ГОСО высшего образования (бакалавриат) - отдельные дисциплины цикла общеобразовательных дисциплин высшего образования будут перенесены в программы профильного обучения в 11-12 классах без увеличения учебной нагрузки.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Будет разработана и апробирована программа профильного обучения по направлениям: общественно-гуманитарное и естественно-математическое.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Будет осуществляться разработка учебников и УМК, электронных учебников, перевод и адаптация учебников и УМК для коррекционных организаций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2015 году будут разработаны учебники и УМК по программе 12-летней модели обучения, а с 2016 года - их экспертиза.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 2016 года все учащиеся общеобразовательных организаций образования будут обеспечены бесплатными учебниками за счет местных бюджетов.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2015 году начнется последовательный переход на 12-летнюю модель обучения.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Общий контингент учащихся на 1 сентября 2015 года по предварительным данным составит около 2,7 млн. детей.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Из них в 1 класс пойдут более 426 тыс. детей, в том числе по 12-летней программе 5337 детей.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2016 году - свыше 341 тыс. детей.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 учетом наработанного опыта и международной практики структура системы образования Казахстана с 2015 будет приведена в соответствие со ступенями МСКО. Будет пересмотрен классификатор специальностей технического и профессионального, послесреднего образования. Отдельные образовательные программы среднего технического и профессионального образования будут отнесены к третичному образованию (прикладной бакалавриат), повысится статус колледжей. Для поступления на программы прикладного бакалавриата необходимо завершение полного среднего образования.»;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«Развитие системы инклюзивного образования»: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абзацы первый, второй, третий и четвертый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«К 2015 году для решения данной задачи будут разработаны: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гибкая система оценивания учебных достижений обучающихся на уровне начального и основного среднего 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правила организации дистанционного образования детей-инвалидов.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Будет проработан вопрос регламентации порядка приема детей с ограниченными возможностями в общеобразовательные школьные, дошкольные организации и организации учебно-воспитательного процесса в организациях образования, оказывающих образовательные услуги детям с ограниченными возможностями.»;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абзацы двенадцатый, тринадцатый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«К 2015 году сеть организаций дополнительного образования будет увеличена и достигнет 700.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Кроме того, будет активизирована работа кружков и секций в общеобразовательных школах республики, что позволит увеличить охват детей дополнительным образованием до 60%.»;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подразделе «Техническое и профессиональное образование»: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«Целевых индикаторах»: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первый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 (2015 г. - 85%, 2020 г. - 95%).»;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«Обновление структуры и содержания технического и профессионального образования с учетом запросов индустриально-инновационного развития экономики»: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первый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«На основе Национальной и отраслевых рамок квалификации будет упорядочена структура подготовки кадров.»;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седьмой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«Для развития практических навыков обучающихся в учебных планах доля профессиональной практики будет увеличена до 60 %. Для этого будет расширена база практики за счет партнерства с работодателями путем внедрения основных принципов дуального обучения.»;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дополнить абзацем десятым следующего содержания: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«Будет создана новая инфраструктура технического и профессионального образования на базе учебных заведений НАО «Холдинг «Кәсіпқор» (колледжи мирового уровня, межрегиональные профессиональные центры). Новая инфраструктура будет выстроена на основе передовых мировых практик в области ТиПО с учетом текущих и перспективных потребностей рынка труда и экономики страны.»;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«Развитие инфраструктуры подготовки кадров для отраслей экономики»: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четвертый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«Будет обеспечено регулирование качества подготовки высококвалифицированных рабочих кадров, в том числе на местах в рамках дуального обучения, с внедрением в отраслях экономики независимой системы сертификации квалификаций специалистов.»;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подразделе «Высшее послевузовское образование»: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«Целевые индикаторы»: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абзацы второй, третий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«Доля выпускников высших учебных заведений, обучившихся по госзаказу, трудоустроенных по специальности в первый год после окончания вуза (2015 г. - 80%, 2020 г. - 82%).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Количество вузов Казахстана, отмеченных в рейтинге лучших мировых университетов (2015 г. - QS рейтинг «ТОП-600+»: 2 вуза; 2020 г. - QS рейтинг «ТОП-600+»: 4 вуза);»;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«Обеспечение кадрами с высшим и послевузовским образованием, соответствующими потребностям индустриально-инновационного развития страны»: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пятый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«По программе «Болашак» 100% стипендиатов будут обучаться в магистратуре, докторантуре, резидентуре, проходить стажировки. Ежегодно будет присуждаться не более 900 стипендий.»;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десятый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«На предприятиях, в том числе реализующих проекты ГПИИР, будут созданы базы производственной практики.»;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дополнить абзацем одиннадцатым следующего содержания: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«Будет введена производственная практика на предприятиях для студентов, начиная со второго курса.»;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дополнить абзацами двенадцатым, тринадцатым следующего содержания: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«Подготовка кадров будет приведена в соответствие с индустриально-инновационным развитием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Будут осуществляться перепрофилизация и региональная специализация вузов.»;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третий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«в целях развития академической мобильности, как одного из принципов Болонской декларации, студенты будут обучаться за рубежом не менее одного академического периода за весь период обучения;»;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двенадцатый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«уполномоченными государственными органами соответствующих сфер деятельности совместно с Национальной палатой предпринимателей Республики Казахстан, отраслевыми объединениями работодателей и отраслевыми объединениями работников будут разработаны профессиональные стандарты;»;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«Обеспечение высокой эффективности системы оценки качества высшего образования»: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пятый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«С 2015 года государственная аттестация постепенно будет заменена национальной институциональной аккредитацией для вузов и колледжей. Государственный контроль будет осуществляться государственными органами в форме проверок на соответствие законодательства об образовании и квалификационных требований, предъявляемых к лицензированию образовательной деятельности.»;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«Обеспечение интеграции образования, науки и производства, создание условий для коммерциализации продуктов интеллектуальной собственности и технологий. Подготовка высококвалифицированных научно-педагогических кадров.»: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третий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«Для реализации направлений индустриально-инновационного развития страны будут созданы при вузах инновационные структуры:»;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дополнить абзацем четвертым следующего содержания: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«Отдельные вузы будут переданы в доверительное управление консорциумов иностранных инвесторов и отечественных компаний.»;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подразделе «Обучение в течение всей жизни»: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«Целевом индикаторе»: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пятый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«В организациях образования с 2016 года будут созданы условия для профессиональной подготовки людей с ограниченными возможностями, созданы специальные образовательные программы.»;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подразделе «Воспитательная работа и молодежная политика»: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«Реализация молодежной политики»: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абзац третий изложить в следующей редакции: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«с целью оказания адресной помощи молодежи по месту жительства, учебы и работы в регионах получат развитие молодежные ресурсные центры по оказанию психологических, профилактических, консультационных, методологических, правовых услуг;»;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дополнить абзацами следующего содержания: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«Будет совершенствоваться нормативно-правовое обеспечение государственной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организациях ТиПО, ВУЗах и предприятиях будут создаваться Комитеты по делам молодежи и иные структуры по работе с молодежью.»;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части «Реализация механизмов раскрытия потенциала молодежи»: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дополнить абзацем следующего содержания: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«Будет продолжена работа по включению представителей ведущих республиканских молодежных организаций в составы консультативно-совещательных органов по взаимодействию с институтами гражданского общества при центральных и местных исполнительных органах.».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Президент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