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80"/>
      </w:tblGrid>
      <w:tr w:rsidR="00D01892" w:rsidTr="00D01892">
        <w:trPr>
          <w:tblCellSpacing w:w="15" w:type="dxa"/>
        </w:trPr>
        <w:tc>
          <w:tcPr>
            <w:tcW w:w="3420" w:type="dxa"/>
            <w:vAlign w:val="center"/>
          </w:tcPr>
          <w:p w:rsidR="00D01892" w:rsidRDefault="00D01892">
            <w:pPr>
              <w:pStyle w:val="a3"/>
              <w:jc w:val="center"/>
            </w:pPr>
            <w:r>
              <w:t>Утвержден</w:t>
            </w:r>
            <w:r>
              <w:br/>
              <w:t>постановлением акимата</w:t>
            </w:r>
            <w:r>
              <w:br/>
              <w:t>Карагандинской области</w:t>
            </w:r>
            <w:r>
              <w:br/>
              <w:t>от 23 июня 2015 года</w:t>
            </w:r>
            <w:r>
              <w:br/>
              <w:t>№ 34/18</w:t>
            </w:r>
          </w:p>
        </w:tc>
      </w:tr>
    </w:tbl>
    <w:p w:rsidR="00D01892" w:rsidRDefault="00D01892" w:rsidP="00D01892">
      <w:pPr>
        <w:pStyle w:val="3"/>
      </w:pPr>
      <w:r>
        <w:t>Регламент государственной услуги</w:t>
      </w:r>
      <w:r>
        <w:br/>
        <w:t>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p w:rsidR="00D01892" w:rsidRDefault="00D01892" w:rsidP="00D01892">
      <w:pPr>
        <w:pStyle w:val="3"/>
      </w:pPr>
      <w:r>
        <w:t>1. Общие положения</w:t>
      </w:r>
    </w:p>
    <w:p w:rsidR="00D01892" w:rsidRDefault="00D01892" w:rsidP="00D01892">
      <w:pPr>
        <w:pStyle w:val="a3"/>
      </w:pPr>
      <w:r>
        <w:t>      1. Государственная услуга "Прием документов и выдача направлений на предоставление отдыха детям из малообеспеченных семей в загородных и пришкольных лагерях" (далее – государственная услуга) оказывается местными исполнительными органами, организациями образования районов и городов Карагандинской области (далее – услугодатель).</w:t>
      </w:r>
      <w:r>
        <w:br/>
      </w:r>
      <w:bookmarkStart w:id="0" w:name="z52"/>
      <w:bookmarkEnd w:id="0"/>
      <w:r>
        <w:t>      Прием заявления и выдача результата оказания государственных услуг осуществляется через канцелярию услугодателя.</w:t>
      </w:r>
      <w:r>
        <w:br/>
        <w:t xml:space="preserve">      2. </w:t>
      </w:r>
      <w:bookmarkStart w:id="1" w:name="z53"/>
      <w:bookmarkEnd w:id="1"/>
      <w:r>
        <w:t>Форма оказания государственной услуги: бумажная.</w:t>
      </w:r>
      <w:r>
        <w:br/>
        <w:t xml:space="preserve">      3. </w:t>
      </w:r>
      <w:bookmarkStart w:id="2" w:name="z54"/>
      <w:bookmarkEnd w:id="2"/>
      <w:r>
        <w:t>Результатом оказания государственной услуги – направление в загородные и пришкольные лагеря, согласно </w:t>
      </w:r>
      <w:hyperlink r:id="rId4" w:anchor="z314" w:history="1">
        <w:r>
          <w:rPr>
            <w:rStyle w:val="a4"/>
          </w:rPr>
          <w:t>стандарту</w:t>
        </w:r>
      </w:hyperlink>
      <w:r>
        <w:t xml:space="preserve">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лагерях", утвержденному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 (далее – Стандарт).</w:t>
      </w:r>
      <w:r>
        <w:br/>
      </w:r>
      <w:bookmarkStart w:id="3" w:name="z55"/>
      <w:bookmarkEnd w:id="3"/>
      <w:r>
        <w:t>      Форма предоставления результата оказания государственной услуги: бумажная.</w:t>
      </w:r>
      <w:r>
        <w:br/>
        <w:t> </w:t>
      </w:r>
    </w:p>
    <w:p w:rsidR="00D01892" w:rsidRDefault="00D01892" w:rsidP="00D01892">
      <w:pPr>
        <w:pStyle w:val="3"/>
      </w:pPr>
      <w:r>
        <w:t>2. Описание порядка действий структурных подразделений</w:t>
      </w:r>
      <w:r>
        <w:br/>
        <w:t>(работников) услугодателя в процессе оказания</w:t>
      </w:r>
      <w:r>
        <w:br/>
        <w:t>государственной услуги</w:t>
      </w:r>
    </w:p>
    <w:p w:rsidR="00D01892" w:rsidRDefault="00D01892" w:rsidP="00D01892">
      <w:pPr>
        <w:pStyle w:val="a3"/>
      </w:pPr>
      <w:r>
        <w:t>      4. Основанием для начала процедуры (действия) по оказанию государственной услуги является заявление с предоставлением необходимых документов, указанных в </w:t>
      </w:r>
      <w:hyperlink r:id="rId5" w:anchor="z325" w:history="1">
        <w:r>
          <w:rPr>
            <w:rStyle w:val="a4"/>
          </w:rPr>
          <w:t>пункте 9</w:t>
        </w:r>
      </w:hyperlink>
      <w:r>
        <w:t xml:space="preserve"> Стандарта.</w:t>
      </w:r>
      <w:r>
        <w:br/>
        <w:t xml:space="preserve">      5. </w:t>
      </w:r>
      <w:bookmarkStart w:id="4" w:name="z58"/>
      <w:bookmarkEnd w:id="4"/>
      <w:r>
        <w:t>Содержание процедур (действий), входящих в состав процесса оказания государственной услуги, длительность выполнения, сроки осуществления:</w:t>
      </w:r>
      <w:r>
        <w:br/>
      </w:r>
      <w:bookmarkStart w:id="5" w:name="z59"/>
      <w:bookmarkEnd w:id="5"/>
      <w:r>
        <w:t>      действие 1 - прием и регистрация документов сотрудником канцелярии отдела, передача документов руководителю отдела - 20 минут;</w:t>
      </w:r>
      <w:r>
        <w:br/>
      </w:r>
      <w:bookmarkStart w:id="6" w:name="z60"/>
      <w:bookmarkEnd w:id="6"/>
      <w:r>
        <w:t>      действие 2 - рассмотрение документов руководителем отдела, передача документов специалисту отдела – 30 минут;</w:t>
      </w:r>
      <w:r>
        <w:br/>
      </w:r>
      <w:bookmarkStart w:id="7" w:name="z61"/>
      <w:bookmarkEnd w:id="7"/>
      <w:r>
        <w:t>      действие 3 - рассмотрение документов специалистом, на соответствие предъявляемым требованиям предусмотренным </w:t>
      </w:r>
      <w:hyperlink r:id="rId6" w:anchor="z325" w:history="1">
        <w:r>
          <w:rPr>
            <w:rStyle w:val="a4"/>
          </w:rPr>
          <w:t>пунктом 9</w:t>
        </w:r>
      </w:hyperlink>
      <w:r>
        <w:t xml:space="preserve"> Стандарта и подготовка направления в загородные и пришкольные лагеря – десять рабочих дней;</w:t>
      </w:r>
      <w:r>
        <w:br/>
      </w:r>
      <w:bookmarkStart w:id="8" w:name="z62"/>
      <w:bookmarkEnd w:id="8"/>
      <w:r>
        <w:t>      действие 4 - подписание результата государственной услуги руководителем отдела - 20 минут;</w:t>
      </w:r>
      <w:r>
        <w:br/>
      </w:r>
      <w:bookmarkStart w:id="9" w:name="z63"/>
      <w:bookmarkEnd w:id="9"/>
      <w:r>
        <w:t>      действие 5 - направление подписанного руководителем отдела результата оказания государственной услуги услугополучателю – один рабочий день.</w:t>
      </w:r>
      <w:r>
        <w:br/>
      </w:r>
      <w:bookmarkStart w:id="10" w:name="z64"/>
      <w:bookmarkEnd w:id="10"/>
      <w:r>
        <w:t>      Срок оказания государственной услуги:</w:t>
      </w:r>
      <w:r>
        <w:br/>
      </w:r>
      <w:bookmarkStart w:id="11" w:name="z65"/>
      <w:bookmarkEnd w:id="11"/>
      <w:r>
        <w:t>      с момента сдачи пакета документов услугодателю – пятнадцать рабочих дней.</w:t>
      </w:r>
      <w:r>
        <w:br/>
      </w:r>
      <w:r>
        <w:lastRenderedPageBreak/>
        <w:t xml:space="preserve">      6. </w:t>
      </w:r>
      <w:bookmarkStart w:id="12" w:name="z66"/>
      <w:bookmarkEnd w:id="12"/>
      <w:r>
        <w:t>Результатом процедуры (действия) по оказанию государственной услуги по действию 1, указанному в </w:t>
      </w:r>
      <w:hyperlink r:id="rId7" w:anchor="z58" w:history="1">
        <w:r>
          <w:rPr>
            <w:rStyle w:val="a4"/>
          </w:rPr>
          <w:t>пункте 5</w:t>
        </w:r>
      </w:hyperlink>
      <w:r>
        <w:t xml:space="preserve"> настоящего регламента, является передача документов руководителю отдела. Передача документов руководителю отдела является основанием для начала выполнения действия 2, указанного в </w:t>
      </w:r>
      <w:hyperlink r:id="rId8" w:anchor="z58" w:history="1">
        <w:r>
          <w:rPr>
            <w:rStyle w:val="a4"/>
          </w:rPr>
          <w:t>пункте 5</w:t>
        </w:r>
      </w:hyperlink>
      <w:r>
        <w:t xml:space="preserve"> настоящего регламента. Результатом действия 2, указанного в </w:t>
      </w:r>
      <w:hyperlink r:id="rId9" w:anchor="z58" w:history="1">
        <w:r>
          <w:rPr>
            <w:rStyle w:val="a4"/>
          </w:rPr>
          <w:t>пункте 5</w:t>
        </w:r>
      </w:hyperlink>
      <w:r>
        <w:t xml:space="preserve"> настоящего регламента, является рассмотрение документов руководителем отдела и передача документов специалисту отдела, которые являются основанием для начала выполнения действия 3, указанного в </w:t>
      </w:r>
      <w:hyperlink r:id="rId10" w:anchor="z58" w:history="1">
        <w:r>
          <w:rPr>
            <w:rStyle w:val="a4"/>
          </w:rPr>
          <w:t>пункте 5</w:t>
        </w:r>
      </w:hyperlink>
      <w:r>
        <w:t xml:space="preserve"> настоящего регламента. Результатом по действию 3, указанному в </w:t>
      </w:r>
      <w:hyperlink r:id="rId11" w:anchor="z58" w:history="1">
        <w:r>
          <w:rPr>
            <w:rStyle w:val="a4"/>
          </w:rPr>
          <w:t>пункте 5</w:t>
        </w:r>
      </w:hyperlink>
      <w:r>
        <w:t xml:space="preserve"> настоящего регламента является рассмотрение документов специалистом отдела на соответствие предъявляемым требованиям, предусмотренным </w:t>
      </w:r>
      <w:hyperlink r:id="rId12" w:anchor="z325" w:history="1">
        <w:r>
          <w:rPr>
            <w:rStyle w:val="a4"/>
          </w:rPr>
          <w:t>пунктом 9</w:t>
        </w:r>
      </w:hyperlink>
      <w:r>
        <w:t xml:space="preserve"> Стандарта и подготовка решения, которое является основанием для начала выполнения действия 4, указанного в </w:t>
      </w:r>
      <w:hyperlink r:id="rId13" w:anchor="z58" w:history="1">
        <w:r>
          <w:rPr>
            <w:rStyle w:val="a4"/>
          </w:rPr>
          <w:t>пункте 5</w:t>
        </w:r>
      </w:hyperlink>
      <w:r>
        <w:t xml:space="preserve"> настоящего регламента. Результатом по действию 4, указанному в </w:t>
      </w:r>
      <w:hyperlink r:id="rId14" w:anchor="z58" w:history="1">
        <w:r>
          <w:rPr>
            <w:rStyle w:val="a4"/>
          </w:rPr>
          <w:t>пункте 5</w:t>
        </w:r>
      </w:hyperlink>
      <w:r>
        <w:t xml:space="preserve"> настоящего регламента является подписание результата оказания государственной услуги руководителем отдела, который является основанием для начала выполнения действия 5 указанного в </w:t>
      </w:r>
      <w:hyperlink r:id="rId15" w:anchor="z58" w:history="1">
        <w:r>
          <w:rPr>
            <w:rStyle w:val="a4"/>
          </w:rPr>
          <w:t>пункте 5</w:t>
        </w:r>
      </w:hyperlink>
      <w:r>
        <w:t xml:space="preserve"> настоящего регламента. Результатом по действию 5, указанному в </w:t>
      </w:r>
      <w:hyperlink r:id="rId16" w:anchor="z58" w:history="1">
        <w:r>
          <w:rPr>
            <w:rStyle w:val="a4"/>
          </w:rPr>
          <w:t>пункте 5</w:t>
        </w:r>
      </w:hyperlink>
      <w:r>
        <w:t xml:space="preserve"> настоящего регламента является направление подписанного руководителем отдела результата оказания государственной услуги услугополучателю.</w:t>
      </w:r>
      <w:r>
        <w:br/>
        <w:t> </w:t>
      </w:r>
    </w:p>
    <w:p w:rsidR="00D01892" w:rsidRDefault="00D01892" w:rsidP="00D01892">
      <w:pPr>
        <w:pStyle w:val="3"/>
      </w:pPr>
      <w:r>
        <w:t>3. Описание порядка взаимодействия структурных подразделений</w:t>
      </w:r>
      <w:r>
        <w:br/>
        <w:t>(работников) услугодателя в процессе оказания</w:t>
      </w:r>
      <w:r>
        <w:br/>
        <w:t>государственной услуги</w:t>
      </w:r>
    </w:p>
    <w:p w:rsidR="00D01892" w:rsidRDefault="00D01892" w:rsidP="00D01892">
      <w:pPr>
        <w:pStyle w:val="a3"/>
      </w:pPr>
      <w: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  <w:t xml:space="preserve">      1) </w:t>
      </w:r>
      <w:bookmarkStart w:id="13" w:name="z69"/>
      <w:bookmarkEnd w:id="13"/>
      <w:r>
        <w:t>сотрудник канцелярии отдела;</w:t>
      </w:r>
      <w:r>
        <w:br/>
        <w:t xml:space="preserve">      2) </w:t>
      </w:r>
      <w:bookmarkStart w:id="14" w:name="z70"/>
      <w:bookmarkEnd w:id="14"/>
      <w:r>
        <w:t>руководитель отдела;</w:t>
      </w:r>
      <w:r>
        <w:br/>
        <w:t xml:space="preserve">      3) </w:t>
      </w:r>
      <w:bookmarkStart w:id="15" w:name="z71"/>
      <w:bookmarkEnd w:id="15"/>
      <w:r>
        <w:t>ответственный отдела.</w:t>
      </w:r>
      <w:r>
        <w:br/>
        <w:t xml:space="preserve">      8. </w:t>
      </w:r>
      <w:bookmarkStart w:id="16" w:name="z72"/>
      <w:bookmarkEnd w:id="16"/>
      <w: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необходимых для оказания государственной услуги:</w:t>
      </w:r>
      <w:r>
        <w:br/>
        <w:t xml:space="preserve">      1) </w:t>
      </w:r>
      <w:bookmarkStart w:id="17" w:name="z73"/>
      <w:bookmarkEnd w:id="17"/>
      <w:r>
        <w:t>прием и регистрация документов сотрудником канцелярии отдела, передача документов руководителю отдела - 20 минут;</w:t>
      </w:r>
      <w:r>
        <w:br/>
        <w:t xml:space="preserve">      2) </w:t>
      </w:r>
      <w:bookmarkStart w:id="18" w:name="z74"/>
      <w:bookmarkEnd w:id="18"/>
      <w:r>
        <w:t>рассмотрение документов руководителем отдела, передача документов специалисту отдела – 30 минут;</w:t>
      </w:r>
      <w:r>
        <w:br/>
        <w:t xml:space="preserve">      3) </w:t>
      </w:r>
      <w:bookmarkStart w:id="19" w:name="z75"/>
      <w:bookmarkEnd w:id="19"/>
      <w:r>
        <w:t>рассмотрение документов специалистом, на соответствие предъявляемым требованиям предусмотренным </w:t>
      </w:r>
      <w:hyperlink r:id="rId17" w:anchor="z325" w:history="1">
        <w:r>
          <w:rPr>
            <w:rStyle w:val="a4"/>
          </w:rPr>
          <w:t>пунктом 9</w:t>
        </w:r>
      </w:hyperlink>
      <w:r>
        <w:t xml:space="preserve"> Стандарта и подготовка направления в загородные и пришкольные лагеря – десять рабочих дней;</w:t>
      </w:r>
      <w:r>
        <w:br/>
        <w:t xml:space="preserve">      4) </w:t>
      </w:r>
      <w:bookmarkStart w:id="20" w:name="z76"/>
      <w:bookmarkEnd w:id="20"/>
      <w:r>
        <w:t>подписание результата государственной услуги руководителем отдела - 20 минут;</w:t>
      </w:r>
      <w:r>
        <w:br/>
        <w:t xml:space="preserve">      5) </w:t>
      </w:r>
      <w:bookmarkStart w:id="21" w:name="z77"/>
      <w:bookmarkEnd w:id="21"/>
      <w:r>
        <w:t>направление подписанного руководителем отдела результата оказания государственной услуги услугополучателю – один рабочий день.</w:t>
      </w:r>
      <w:r>
        <w:br/>
      </w:r>
      <w:bookmarkStart w:id="22" w:name="z78"/>
      <w:bookmarkEnd w:id="22"/>
      <w:r>
        <w:t>     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справочником бизнес-процессов согласно приложению к настоящему регламенту.</w:t>
      </w:r>
      <w:r>
        <w:br/>
        <w:t> </w:t>
      </w:r>
    </w:p>
    <w:p w:rsidR="00D01892" w:rsidRDefault="00D01892" w:rsidP="00D01892">
      <w:pPr>
        <w:pStyle w:val="3"/>
      </w:pPr>
      <w:r>
        <w:t>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p w:rsidR="00D01892" w:rsidRDefault="00D01892" w:rsidP="00D01892">
      <w:pPr>
        <w:pStyle w:val="a3"/>
      </w:pPr>
      <w:r>
        <w:lastRenderedPageBreak/>
        <w:t>      9. Государственная услуга не автоматизирована и через центр обслуживания населения не оказывается.</w:t>
      </w:r>
      <w: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50"/>
        <w:gridCol w:w="3465"/>
      </w:tblGrid>
      <w:tr w:rsidR="00D01892" w:rsidTr="00D01892">
        <w:trPr>
          <w:tblCellSpacing w:w="15" w:type="dxa"/>
        </w:trPr>
        <w:tc>
          <w:tcPr>
            <w:tcW w:w="5805" w:type="dxa"/>
            <w:vAlign w:val="center"/>
          </w:tcPr>
          <w:p w:rsidR="00D01892" w:rsidRDefault="00D01892"/>
        </w:tc>
        <w:tc>
          <w:tcPr>
            <w:tcW w:w="3420" w:type="dxa"/>
            <w:vAlign w:val="center"/>
          </w:tcPr>
          <w:p w:rsidR="00D01892" w:rsidRDefault="00D01892">
            <w:pPr>
              <w:pStyle w:val="a3"/>
              <w:jc w:val="center"/>
            </w:pPr>
            <w:r>
              <w:t>Приложение</w:t>
            </w:r>
            <w:r>
              <w:br/>
              <w:t>к регламенту</w:t>
            </w:r>
            <w:r>
              <w:br/>
              <w:t>государственной услуги</w:t>
            </w:r>
            <w:r>
              <w:br/>
              <w:t>"Прием документов и</w:t>
            </w:r>
            <w:r>
              <w:br/>
              <w:t>выдача направлений на</w:t>
            </w:r>
            <w:r>
              <w:br/>
              <w:t>предоставление отдыха</w:t>
            </w:r>
            <w:r>
              <w:br/>
              <w:t>детям из</w:t>
            </w:r>
            <w:r>
              <w:br/>
              <w:t>малообеспеченных</w:t>
            </w:r>
            <w:r>
              <w:br/>
              <w:t>семей в загородных и</w:t>
            </w:r>
            <w:r>
              <w:br/>
              <w:t>пришкольных лагерях"</w:t>
            </w:r>
          </w:p>
        </w:tc>
      </w:tr>
    </w:tbl>
    <w:p w:rsidR="00D01892" w:rsidRDefault="00D01892" w:rsidP="00D01892">
      <w:pPr>
        <w:pStyle w:val="3"/>
      </w:pPr>
      <w:r>
        <w:t>Справочник бизнес-процессов оказания государственной услуги</w:t>
      </w:r>
      <w:r>
        <w:br/>
        <w:t>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p w:rsidR="00D01892" w:rsidRDefault="00507B32" w:rsidP="00D01892">
      <w:pPr>
        <w:pStyle w:val="a3"/>
      </w:pPr>
      <w:r>
        <w:rPr>
          <w:noProof/>
        </w:rPr>
        <w:drawing>
          <wp:inline distT="0" distB="0" distL="0" distR="0">
            <wp:extent cx="5857875" cy="3810000"/>
            <wp:effectExtent l="1905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892" w:rsidRDefault="00D01892" w:rsidP="00D01892">
      <w:pPr>
        <w:pStyle w:val="a3"/>
      </w:pPr>
      <w:r>
        <w:t>      Условные обозначения</w:t>
      </w:r>
      <w:r>
        <w:br/>
        <w:t> </w:t>
      </w:r>
    </w:p>
    <w:p w:rsidR="00D01892" w:rsidRDefault="00507B32" w:rsidP="00D01892">
      <w:pPr>
        <w:pStyle w:val="a3"/>
      </w:pPr>
      <w:r>
        <w:rPr>
          <w:noProof/>
        </w:rPr>
        <w:drawing>
          <wp:inline distT="0" distB="0" distL="0" distR="0">
            <wp:extent cx="5857875" cy="904875"/>
            <wp:effectExtent l="19050" t="0" r="9525" b="0"/>
            <wp:docPr id="2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892" w:rsidRDefault="00D01892"/>
    <w:sectPr w:rsidR="00D01892" w:rsidSect="00D01892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01892"/>
    <w:rsid w:val="00507B32"/>
    <w:rsid w:val="00D0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D018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01892"/>
    <w:pPr>
      <w:spacing w:before="100" w:beforeAutospacing="1" w:after="100" w:afterAutospacing="1"/>
    </w:pPr>
  </w:style>
  <w:style w:type="character" w:styleId="a4">
    <w:name w:val="Hyperlink"/>
    <w:basedOn w:val="a0"/>
    <w:rsid w:val="00D018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K0003355" TargetMode="External"/><Relationship Id="rId13" Type="http://schemas.openxmlformats.org/officeDocument/2006/relationships/hyperlink" Target="http://adilet.zan.kz/rus/docs/V15K0003355" TargetMode="External"/><Relationship Id="rId18" Type="http://schemas.openxmlformats.org/officeDocument/2006/relationships/image" Target="media/image1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adilet.zan.kz/rus/docs/V15K0003355" TargetMode="External"/><Relationship Id="rId12" Type="http://schemas.openxmlformats.org/officeDocument/2006/relationships/hyperlink" Target="http://adilet.zan.kz/rus/docs/V1500011184" TargetMode="External"/><Relationship Id="rId17" Type="http://schemas.openxmlformats.org/officeDocument/2006/relationships/hyperlink" Target="http://adilet.zan.kz/rus/docs/V15000111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5K000335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184" TargetMode="External"/><Relationship Id="rId11" Type="http://schemas.openxmlformats.org/officeDocument/2006/relationships/hyperlink" Target="http://adilet.zan.kz/rus/docs/V15K0003355" TargetMode="External"/><Relationship Id="rId5" Type="http://schemas.openxmlformats.org/officeDocument/2006/relationships/hyperlink" Target="http://adilet.zan.kz/rus/docs/V1500011184" TargetMode="External"/><Relationship Id="rId15" Type="http://schemas.openxmlformats.org/officeDocument/2006/relationships/hyperlink" Target="http://adilet.zan.kz/rus/docs/V15K0003355" TargetMode="External"/><Relationship Id="rId10" Type="http://schemas.openxmlformats.org/officeDocument/2006/relationships/hyperlink" Target="http://adilet.zan.kz/rus/docs/V15K0003355" TargetMode="External"/><Relationship Id="rId19" Type="http://schemas.openxmlformats.org/officeDocument/2006/relationships/image" Target="media/image2.jpeg"/><Relationship Id="rId4" Type="http://schemas.openxmlformats.org/officeDocument/2006/relationships/hyperlink" Target="http://adilet.zan.kz/rus/docs/V1500011184" TargetMode="External"/><Relationship Id="rId9" Type="http://schemas.openxmlformats.org/officeDocument/2006/relationships/hyperlink" Target="http://adilet.zan.kz/rus/docs/V15K0003355" TargetMode="External"/><Relationship Id="rId14" Type="http://schemas.openxmlformats.org/officeDocument/2006/relationships/hyperlink" Target="http://adilet.zan.kz/rus/docs/V15K0003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7222</CharactersWithSpaces>
  <SharedDoc>false</SharedDoc>
  <HLinks>
    <vt:vector size="84" baseType="variant">
      <vt:variant>
        <vt:i4>4849752</vt:i4>
      </vt:variant>
      <vt:variant>
        <vt:i4>39</vt:i4>
      </vt:variant>
      <vt:variant>
        <vt:i4>0</vt:i4>
      </vt:variant>
      <vt:variant>
        <vt:i4>5</vt:i4>
      </vt:variant>
      <vt:variant>
        <vt:lpwstr>http://adilet.zan.kz/rus/docs/V1500011184</vt:lpwstr>
      </vt:variant>
      <vt:variant>
        <vt:lpwstr>z325</vt:lpwstr>
      </vt:variant>
      <vt:variant>
        <vt:i4>2949225</vt:i4>
      </vt:variant>
      <vt:variant>
        <vt:i4>36</vt:i4>
      </vt:variant>
      <vt:variant>
        <vt:i4>0</vt:i4>
      </vt:variant>
      <vt:variant>
        <vt:i4>5</vt:i4>
      </vt:variant>
      <vt:variant>
        <vt:lpwstr>http://adilet.zan.kz/rus/docs/V15K0003355</vt:lpwstr>
      </vt:variant>
      <vt:variant>
        <vt:lpwstr>z58</vt:lpwstr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http://adilet.zan.kz/rus/docs/V15K0003355</vt:lpwstr>
      </vt:variant>
      <vt:variant>
        <vt:lpwstr>z58</vt:lpwstr>
      </vt:variant>
      <vt:variant>
        <vt:i4>2949225</vt:i4>
      </vt:variant>
      <vt:variant>
        <vt:i4>30</vt:i4>
      </vt:variant>
      <vt:variant>
        <vt:i4>0</vt:i4>
      </vt:variant>
      <vt:variant>
        <vt:i4>5</vt:i4>
      </vt:variant>
      <vt:variant>
        <vt:lpwstr>http://adilet.zan.kz/rus/docs/V15K0003355</vt:lpwstr>
      </vt:variant>
      <vt:variant>
        <vt:lpwstr>z58</vt:lpwstr>
      </vt:variant>
      <vt:variant>
        <vt:i4>2949225</vt:i4>
      </vt:variant>
      <vt:variant>
        <vt:i4>27</vt:i4>
      </vt:variant>
      <vt:variant>
        <vt:i4>0</vt:i4>
      </vt:variant>
      <vt:variant>
        <vt:i4>5</vt:i4>
      </vt:variant>
      <vt:variant>
        <vt:lpwstr>http://adilet.zan.kz/rus/docs/V15K0003355</vt:lpwstr>
      </vt:variant>
      <vt:variant>
        <vt:lpwstr>z58</vt:lpwstr>
      </vt:variant>
      <vt:variant>
        <vt:i4>4849752</vt:i4>
      </vt:variant>
      <vt:variant>
        <vt:i4>24</vt:i4>
      </vt:variant>
      <vt:variant>
        <vt:i4>0</vt:i4>
      </vt:variant>
      <vt:variant>
        <vt:i4>5</vt:i4>
      </vt:variant>
      <vt:variant>
        <vt:lpwstr>http://adilet.zan.kz/rus/docs/V1500011184</vt:lpwstr>
      </vt:variant>
      <vt:variant>
        <vt:lpwstr>z325</vt:lpwstr>
      </vt:variant>
      <vt:variant>
        <vt:i4>2949225</vt:i4>
      </vt:variant>
      <vt:variant>
        <vt:i4>21</vt:i4>
      </vt:variant>
      <vt:variant>
        <vt:i4>0</vt:i4>
      </vt:variant>
      <vt:variant>
        <vt:i4>5</vt:i4>
      </vt:variant>
      <vt:variant>
        <vt:lpwstr>http://adilet.zan.kz/rus/docs/V15K0003355</vt:lpwstr>
      </vt:variant>
      <vt:variant>
        <vt:lpwstr>z58</vt:lpwstr>
      </vt:variant>
      <vt:variant>
        <vt:i4>2949225</vt:i4>
      </vt:variant>
      <vt:variant>
        <vt:i4>18</vt:i4>
      </vt:variant>
      <vt:variant>
        <vt:i4>0</vt:i4>
      </vt:variant>
      <vt:variant>
        <vt:i4>5</vt:i4>
      </vt:variant>
      <vt:variant>
        <vt:lpwstr>http://adilet.zan.kz/rus/docs/V15K0003355</vt:lpwstr>
      </vt:variant>
      <vt:variant>
        <vt:lpwstr>z58</vt:lpwstr>
      </vt:variant>
      <vt:variant>
        <vt:i4>2949225</vt:i4>
      </vt:variant>
      <vt:variant>
        <vt:i4>15</vt:i4>
      </vt:variant>
      <vt:variant>
        <vt:i4>0</vt:i4>
      </vt:variant>
      <vt:variant>
        <vt:i4>5</vt:i4>
      </vt:variant>
      <vt:variant>
        <vt:lpwstr>http://adilet.zan.kz/rus/docs/V15K0003355</vt:lpwstr>
      </vt:variant>
      <vt:variant>
        <vt:lpwstr>z58</vt:lpwstr>
      </vt:variant>
      <vt:variant>
        <vt:i4>2949225</vt:i4>
      </vt:variant>
      <vt:variant>
        <vt:i4>12</vt:i4>
      </vt:variant>
      <vt:variant>
        <vt:i4>0</vt:i4>
      </vt:variant>
      <vt:variant>
        <vt:i4>5</vt:i4>
      </vt:variant>
      <vt:variant>
        <vt:lpwstr>http://adilet.zan.kz/rus/docs/V15K0003355</vt:lpwstr>
      </vt:variant>
      <vt:variant>
        <vt:lpwstr>z58</vt:lpwstr>
      </vt:variant>
      <vt:variant>
        <vt:i4>2949225</vt:i4>
      </vt:variant>
      <vt:variant>
        <vt:i4>9</vt:i4>
      </vt:variant>
      <vt:variant>
        <vt:i4>0</vt:i4>
      </vt:variant>
      <vt:variant>
        <vt:i4>5</vt:i4>
      </vt:variant>
      <vt:variant>
        <vt:lpwstr>http://adilet.zan.kz/rus/docs/V15K0003355</vt:lpwstr>
      </vt:variant>
      <vt:variant>
        <vt:lpwstr>z58</vt:lpwstr>
      </vt:variant>
      <vt:variant>
        <vt:i4>4849752</vt:i4>
      </vt:variant>
      <vt:variant>
        <vt:i4>6</vt:i4>
      </vt:variant>
      <vt:variant>
        <vt:i4>0</vt:i4>
      </vt:variant>
      <vt:variant>
        <vt:i4>5</vt:i4>
      </vt:variant>
      <vt:variant>
        <vt:lpwstr>http://adilet.zan.kz/rus/docs/V1500011184</vt:lpwstr>
      </vt:variant>
      <vt:variant>
        <vt:lpwstr>z325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http://adilet.zan.kz/rus/docs/V1500011184</vt:lpwstr>
      </vt:variant>
      <vt:variant>
        <vt:lpwstr>z325</vt:lpwstr>
      </vt:variant>
      <vt:variant>
        <vt:i4>4915291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http://adilet.zan.kz/rus/docs/V1500011184</vt:lpwstr>
      </vt:variant>
      <vt:variant>
        <vt:lpwstr>z314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2017-11-02T10:37:00Z</dcterms:created>
  <dcterms:modified xsi:type="dcterms:W3CDTF">2017-11-02T10:37:00Z</dcterms:modified>
</cp:coreProperties>
</file>