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20" w:rsidRPr="00090120" w:rsidRDefault="00090120" w:rsidP="00090120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br w:type="textWrapping" w:clear="all"/>
      </w:r>
    </w:p>
    <w:p w:rsidR="00090120" w:rsidRPr="00E66195" w:rsidRDefault="00E66195" w:rsidP="00090120">
      <w:pPr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Pr="00212E73">
        <w:rPr>
          <w:rFonts w:ascii="Times New Roman" w:hAnsi="Times New Roman" w:cs="Times New Roman"/>
          <w:b/>
          <w:sz w:val="24"/>
          <w:szCs w:val="24"/>
          <w:lang w:val="kk-KZ"/>
        </w:rPr>
        <w:t>«МЕНІҢ СЫНЫБЫМ» ӘДІСТЕМЕСІ</w:t>
      </w:r>
    </w:p>
    <w:p w:rsidR="002F3EB9" w:rsidRPr="00E66195" w:rsidRDefault="00E66195">
      <w:pPr>
        <w:rPr>
          <w:lang w:val="kk-KZ"/>
        </w:rPr>
      </w:pPr>
      <w:r w:rsidRPr="008B41D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2FE400EA" wp14:editId="5903E214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6019800" cy="4562475"/>
            <wp:effectExtent l="0" t="0" r="0" b="9525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1" name="Рисунок 1" descr="https://fsd.multiurok.ru/html/2019/04/12/s_5cb060bd439a1/11376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12/s_5cb060bd439a1/1137627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195" w:rsidRPr="00E66195" w:rsidRDefault="00E66195" w:rsidP="00E66195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95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Нұсқау:</w:t>
      </w:r>
      <w:r w:rsidRPr="00E66195"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 «Балалар!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сендердің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сыныптарың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көрсетілген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Ортанғы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орындықта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апайың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мұғалім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апайдың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айналасындағы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өздерінің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жұмыстарымен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шұғылдануда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Ал,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қалған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ауланың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сыртында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ойнауда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Осы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суреттегі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ішінен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өзіңді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тауып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алып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белгілеп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жанына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өзіңнің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аты-жөніңді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жаз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Өзіңді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белгілеп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болған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өзіңнің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досыңды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тап та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жанына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аты-жөнін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жаз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E66195" w:rsidRPr="00E66195" w:rsidRDefault="00E66195" w:rsidP="00E66195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6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Талдау</w:t>
      </w:r>
      <w:proofErr w:type="spellEnd"/>
      <w:r w:rsidRPr="00E66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нәтежесі</w:t>
      </w:r>
      <w:proofErr w:type="spellEnd"/>
      <w:r w:rsidRPr="00E66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E66195" w:rsidRPr="00E66195" w:rsidRDefault="00E66195" w:rsidP="00E66195">
      <w:pPr>
        <w:numPr>
          <w:ilvl w:val="0"/>
          <w:numId w:val="4"/>
        </w:numPr>
        <w:shd w:val="clear" w:color="auto" w:fill="FFFFFF"/>
        <w:spacing w:after="15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Мұғалімнен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алыста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позициясында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тұрған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болса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сынып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ұжымына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бейімделуінде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қиындықтардың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екенін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көрсетеді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6195" w:rsidRPr="00E66195" w:rsidRDefault="00E66195" w:rsidP="00E66195">
      <w:pPr>
        <w:numPr>
          <w:ilvl w:val="0"/>
          <w:numId w:val="4"/>
        </w:numPr>
        <w:shd w:val="clear" w:color="auto" w:fill="FFFFFF"/>
        <w:spacing w:after="15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Өзге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баллармен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теңестіру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тұруы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ойыншылармен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бірге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бейімделуі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деңгейде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6195" w:rsidRPr="00E66195" w:rsidRDefault="00E66195" w:rsidP="00E66195">
      <w:pPr>
        <w:numPr>
          <w:ilvl w:val="0"/>
          <w:numId w:val="4"/>
        </w:numPr>
        <w:shd w:val="clear" w:color="auto" w:fill="FFFFFF"/>
        <w:spacing w:after="15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Мұғаліммен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бірге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бала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мұғалімнің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маңыздылығы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екендігі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6195" w:rsidRPr="00E66195" w:rsidRDefault="00E66195" w:rsidP="00E66195">
      <w:pPr>
        <w:numPr>
          <w:ilvl w:val="0"/>
          <w:numId w:val="4"/>
        </w:numPr>
        <w:shd w:val="clear" w:color="auto" w:fill="FFFFFF"/>
        <w:spacing w:after="15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позициясы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позициясымен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келмейді</w:t>
      </w:r>
      <w:proofErr w:type="spellEnd"/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6195" w:rsidRPr="00E66195" w:rsidRDefault="00E66195" w:rsidP="00E66195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6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EB9" w:rsidRDefault="002F3EB9" w:rsidP="00E66195">
      <w:pPr>
        <w:ind w:left="426"/>
      </w:pPr>
    </w:p>
    <w:p w:rsidR="002F3EB9" w:rsidRDefault="002F3EB9"/>
    <w:p w:rsidR="00720684" w:rsidRDefault="00720684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684" w:rsidRDefault="00720684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684" w:rsidRDefault="00720684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6195" w:rsidRDefault="00E66195" w:rsidP="00E6619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E66195" w:rsidRDefault="00E66195" w:rsidP="00E6619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EB9" w:rsidRDefault="00E66195" w:rsidP="00E6619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</w:t>
      </w:r>
      <w:r w:rsidR="002F3EB9" w:rsidRPr="00212E73">
        <w:rPr>
          <w:rFonts w:ascii="Times New Roman" w:hAnsi="Times New Roman" w:cs="Times New Roman"/>
          <w:b/>
          <w:sz w:val="24"/>
          <w:szCs w:val="24"/>
          <w:lang w:val="kk-KZ"/>
        </w:rPr>
        <w:t>«МЕНІҢ СЫНЫБЫМ» ӘДІСТЕМЕСІ</w:t>
      </w:r>
    </w:p>
    <w:p w:rsidR="00720684" w:rsidRPr="00212E73" w:rsidRDefault="00720684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Мақсаты: Оқушылардың мектепке, сыныпқа бейімделуінің деңгейін анықтау.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Қатысқандар</w:t>
      </w:r>
      <w:r>
        <w:rPr>
          <w:rFonts w:ascii="Times New Roman" w:hAnsi="Times New Roman" w:cs="Times New Roman"/>
          <w:sz w:val="24"/>
          <w:szCs w:val="24"/>
          <w:lang w:val="kk-KZ"/>
        </w:rPr>
        <w:t>: 5А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сынып оқушылары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Психолог: Асылханова Ә.А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Оқушылардың назарына сыныбтың суреті салынған парақ көрсетіледі.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1"/>
        <w:tblW w:w="10910" w:type="dxa"/>
        <w:tblLayout w:type="fixed"/>
        <w:tblLook w:val="0000" w:firstRow="0" w:lastRow="0" w:firstColumn="0" w:lastColumn="0" w:noHBand="0" w:noVBand="0"/>
      </w:tblPr>
      <w:tblGrid>
        <w:gridCol w:w="454"/>
        <w:gridCol w:w="2518"/>
        <w:gridCol w:w="1134"/>
        <w:gridCol w:w="851"/>
        <w:gridCol w:w="1134"/>
        <w:gridCol w:w="992"/>
        <w:gridCol w:w="992"/>
        <w:gridCol w:w="992"/>
        <w:gridCol w:w="993"/>
        <w:gridCol w:w="850"/>
      </w:tblGrid>
      <w:tr w:rsidR="00720684" w:rsidTr="00136FEA">
        <w:tblPrEx>
          <w:tblCellMar>
            <w:top w:w="0" w:type="dxa"/>
            <w:bottom w:w="0" w:type="dxa"/>
          </w:tblCellMar>
        </w:tblPrEx>
        <w:trPr>
          <w:gridBefore w:val="2"/>
          <w:wBefore w:w="2972" w:type="dxa"/>
          <w:trHeight w:val="495"/>
        </w:trPr>
        <w:tc>
          <w:tcPr>
            <w:tcW w:w="4111" w:type="dxa"/>
            <w:gridSpan w:val="4"/>
          </w:tcPr>
          <w:p w:rsidR="00720684" w:rsidRDefault="00720684" w:rsidP="00720684">
            <w:pPr>
              <w:tabs>
                <w:tab w:val="left" w:pos="2265"/>
              </w:tabs>
              <w:spacing w:line="276" w:lineRule="auto"/>
              <w:ind w:left="-2866" w:hanging="426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>1 тоқсан</w:t>
            </w:r>
          </w:p>
        </w:tc>
        <w:tc>
          <w:tcPr>
            <w:tcW w:w="3827" w:type="dxa"/>
            <w:gridSpan w:val="4"/>
          </w:tcPr>
          <w:p w:rsidR="00720684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2 тоқсан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ind w:left="-680" w:firstLine="680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18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Оқушының аты-жөні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Сынып ұжымына бейімделуінде қиындықтар бар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Бейімделуі жақсы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Мұғалімнің маңыздылығы ерекше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Ойын позициясына</w:t>
            </w:r>
          </w:p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жақын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Сынып ұжымына бейімделуінде қиындықтар бар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Бейімделуі жақсы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Мұғалімнің маңыздылығы ерекше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Ойын позициясына</w:t>
            </w:r>
          </w:p>
          <w:p w:rsidR="00720684" w:rsidRPr="00212E73" w:rsidRDefault="00720684" w:rsidP="00720684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жақын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Айтжан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Әли</w:t>
            </w:r>
            <w:proofErr w:type="spellEnd"/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Айхан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Айлин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Атығұл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Ауалбек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Әли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Бекенова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Акниет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136FEA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Берлібек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Сұлтан</w:t>
            </w:r>
            <w:proofErr w:type="spellEnd"/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Богисова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9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Брант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Еркебулан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Джуматаева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Сезім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Дүйсенбі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Ерсанат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136FEA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136FEA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136FEA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Еркебаева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Жакенова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Айда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136FEA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Жақсылықбек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Ерсін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Калибеков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Құдайберген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B37820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Құдайберген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Нұрайым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B37820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Марғұланұлы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Мейірлан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Мугражов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AC19DE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Pr="00212E73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Мырзабекова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Биби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Өкен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Мөлдір</w:t>
            </w:r>
            <w:proofErr w:type="spellEnd"/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Дос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Сансызбайұлы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Нұрхат</w:t>
            </w:r>
            <w:proofErr w:type="spellEnd"/>
          </w:p>
        </w:tc>
        <w:tc>
          <w:tcPr>
            <w:tcW w:w="1134" w:type="dxa"/>
          </w:tcPr>
          <w:p w:rsidR="00720684" w:rsidRPr="00212E73" w:rsidRDefault="00AC19DE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720684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  <w:tr w:rsidR="00720684" w:rsidRPr="00212E73" w:rsidTr="00136FE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720684" w:rsidRDefault="00720684" w:rsidP="00720684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84" w:rsidRPr="00BD0FE4" w:rsidRDefault="00720684" w:rsidP="00720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>Турсынбаева</w:t>
            </w:r>
            <w:proofErr w:type="spellEnd"/>
            <w:r w:rsidRPr="00BD0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</w:t>
            </w:r>
          </w:p>
        </w:tc>
        <w:tc>
          <w:tcPr>
            <w:tcW w:w="1134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0684" w:rsidRDefault="00720684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720684" w:rsidRPr="00212E73" w:rsidRDefault="00AC19DE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20684" w:rsidRPr="00212E73" w:rsidRDefault="005C65BC" w:rsidP="007206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720684" w:rsidRPr="00212E73" w:rsidRDefault="00720684" w:rsidP="00720684">
            <w:pPr>
              <w:jc w:val="center"/>
              <w:rPr>
                <w:lang w:val="kk-KZ"/>
              </w:rPr>
            </w:pPr>
          </w:p>
        </w:tc>
      </w:tr>
    </w:tbl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  <w:r w:rsidR="00AC19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C65BC">
        <w:rPr>
          <w:rFonts w:ascii="Times New Roman" w:hAnsi="Times New Roman" w:cs="Times New Roman"/>
          <w:sz w:val="24"/>
          <w:szCs w:val="24"/>
          <w:lang w:val="kk-KZ"/>
        </w:rPr>
        <w:t>1 тоқсанда о</w:t>
      </w:r>
      <w:r w:rsidR="00AC19DE">
        <w:rPr>
          <w:rFonts w:ascii="Times New Roman" w:hAnsi="Times New Roman" w:cs="Times New Roman"/>
          <w:sz w:val="24"/>
          <w:szCs w:val="24"/>
          <w:lang w:val="kk-KZ"/>
        </w:rPr>
        <w:t>қушылардың 71</w:t>
      </w:r>
      <w:r>
        <w:rPr>
          <w:rFonts w:ascii="Times New Roman" w:hAnsi="Times New Roman" w:cs="Times New Roman"/>
          <w:sz w:val="24"/>
          <w:szCs w:val="24"/>
          <w:lang w:val="kk-KZ"/>
        </w:rPr>
        <w:t>%-ы сыныпқа бейімделуі жақсы</w:t>
      </w:r>
      <w:r w:rsidR="00AC19DE">
        <w:rPr>
          <w:rFonts w:ascii="Times New Roman" w:hAnsi="Times New Roman" w:cs="Times New Roman"/>
          <w:sz w:val="24"/>
          <w:szCs w:val="24"/>
          <w:lang w:val="kk-KZ"/>
        </w:rPr>
        <w:t>, 37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%-ына мұғалімнің маңыздылығы ерекше, көбінесе ой</w:t>
      </w:r>
      <w:r w:rsidR="00AC19DE">
        <w:rPr>
          <w:rFonts w:ascii="Times New Roman" w:hAnsi="Times New Roman" w:cs="Times New Roman"/>
          <w:sz w:val="24"/>
          <w:szCs w:val="24"/>
          <w:lang w:val="kk-KZ"/>
        </w:rPr>
        <w:t>ын позициясына жақын оқушылар 29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 xml:space="preserve">%-ды құрайды, сынып ұжымына бейімделуінде қиындығы бар оқушы </w:t>
      </w:r>
      <w:r w:rsidR="00AC19DE">
        <w:rPr>
          <w:rFonts w:ascii="Times New Roman" w:hAnsi="Times New Roman" w:cs="Times New Roman"/>
          <w:sz w:val="24"/>
          <w:szCs w:val="24"/>
          <w:lang w:val="kk-KZ"/>
        </w:rPr>
        <w:t>29</w:t>
      </w:r>
      <w:r>
        <w:rPr>
          <w:rFonts w:ascii="Times New Roman" w:hAnsi="Times New Roman" w:cs="Times New Roman"/>
          <w:sz w:val="24"/>
          <w:szCs w:val="24"/>
          <w:lang w:val="kk-KZ"/>
        </w:rPr>
        <w:t>% ы құрайды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65BC" w:rsidRDefault="005C65BC" w:rsidP="005C65B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2-тоқсан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="00136FEA">
        <w:rPr>
          <w:rFonts w:ascii="Times New Roman" w:hAnsi="Times New Roman" w:cs="Times New Roman"/>
          <w:sz w:val="24"/>
          <w:szCs w:val="24"/>
          <w:lang w:val="kk-KZ"/>
        </w:rPr>
        <w:t xml:space="preserve"> 54</w:t>
      </w:r>
      <w:r w:rsidR="004B7E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%-ы сыныпқа бейімделуі жақсы</w:t>
      </w:r>
      <w:r w:rsidR="00136FEA">
        <w:rPr>
          <w:rFonts w:ascii="Times New Roman" w:hAnsi="Times New Roman" w:cs="Times New Roman"/>
          <w:sz w:val="24"/>
          <w:szCs w:val="24"/>
          <w:lang w:val="kk-KZ"/>
        </w:rPr>
        <w:t>, 29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%-ына мұғалімнің маңыздылығы ерекше, көбінесе ой</w:t>
      </w:r>
      <w:r w:rsidR="00136FEA">
        <w:rPr>
          <w:rFonts w:ascii="Times New Roman" w:hAnsi="Times New Roman" w:cs="Times New Roman"/>
          <w:sz w:val="24"/>
          <w:szCs w:val="24"/>
          <w:lang w:val="kk-KZ"/>
        </w:rPr>
        <w:t>ын позициясына жақын оқушылар 16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 xml:space="preserve">%-ды құрайды, сынып ұжымына бейімделуінде қиындығы бар оқушы </w:t>
      </w:r>
      <w:r w:rsidR="00136FEA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% ы құрайды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65BC" w:rsidRPr="00212E73" w:rsidRDefault="005C65BC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Default="00136FEA" w:rsidP="00136F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2F3EB9" w:rsidRPr="00212E73">
        <w:rPr>
          <w:rFonts w:ascii="Times New Roman" w:hAnsi="Times New Roman" w:cs="Times New Roman"/>
          <w:b/>
          <w:sz w:val="24"/>
          <w:szCs w:val="24"/>
          <w:lang w:val="kk-KZ"/>
        </w:rPr>
        <w:t>«МЕНІҢ СЫНЫБЫМ» ӘДІСТЕМЕСІ</w:t>
      </w:r>
    </w:p>
    <w:p w:rsidR="002F3EB9" w:rsidRDefault="002F3EB9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Мақсаты: Оқушылардың мектепке, сыныпқа бейімделуінің деңгейін анықтау.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Қатысқандар</w:t>
      </w:r>
      <w:r>
        <w:rPr>
          <w:rFonts w:ascii="Times New Roman" w:hAnsi="Times New Roman" w:cs="Times New Roman"/>
          <w:sz w:val="24"/>
          <w:szCs w:val="24"/>
          <w:lang w:val="kk-KZ"/>
        </w:rPr>
        <w:t>: 5Ә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сынып оқушылары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Психолог: Асылханова Ә.А</w:t>
      </w: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Оқушылардың назарына сыныбтың суреті салынған парақ көрсетіледі.</w:t>
      </w:r>
    </w:p>
    <w:tbl>
      <w:tblPr>
        <w:tblStyle w:val="1"/>
        <w:tblW w:w="10910" w:type="dxa"/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1134"/>
        <w:gridCol w:w="993"/>
        <w:gridCol w:w="1134"/>
        <w:gridCol w:w="992"/>
        <w:gridCol w:w="992"/>
        <w:gridCol w:w="992"/>
        <w:gridCol w:w="993"/>
        <w:gridCol w:w="850"/>
      </w:tblGrid>
      <w:tr w:rsidR="004B7EE2" w:rsidTr="005F7076">
        <w:tblPrEx>
          <w:tblCellMar>
            <w:top w:w="0" w:type="dxa"/>
            <w:bottom w:w="0" w:type="dxa"/>
          </w:tblCellMar>
        </w:tblPrEx>
        <w:trPr>
          <w:gridBefore w:val="2"/>
          <w:wBefore w:w="2830" w:type="dxa"/>
          <w:trHeight w:val="495"/>
        </w:trPr>
        <w:tc>
          <w:tcPr>
            <w:tcW w:w="4253" w:type="dxa"/>
            <w:gridSpan w:val="4"/>
          </w:tcPr>
          <w:p w:rsidR="004B7EE2" w:rsidRDefault="004B7EE2" w:rsidP="005F7076">
            <w:pPr>
              <w:tabs>
                <w:tab w:val="left" w:pos="2265"/>
              </w:tabs>
              <w:spacing w:line="276" w:lineRule="auto"/>
              <w:ind w:left="-2866" w:hanging="426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>1 тоқсан</w:t>
            </w:r>
          </w:p>
        </w:tc>
        <w:tc>
          <w:tcPr>
            <w:tcW w:w="3827" w:type="dxa"/>
            <w:gridSpan w:val="4"/>
          </w:tcPr>
          <w:p w:rsidR="004B7EE2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2 тоқсан</w:t>
            </w:r>
          </w:p>
        </w:tc>
      </w:tr>
      <w:tr w:rsidR="004B7EE2" w:rsidRPr="00212E73" w:rsidTr="005F707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454" w:type="dxa"/>
          </w:tcPr>
          <w:p w:rsidR="004B7EE2" w:rsidRPr="00212E73" w:rsidRDefault="004B7EE2" w:rsidP="005F7076">
            <w:pPr>
              <w:spacing w:line="276" w:lineRule="auto"/>
              <w:ind w:left="-680" w:firstLine="680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76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Оқушының аты-жөні</w:t>
            </w:r>
          </w:p>
        </w:tc>
        <w:tc>
          <w:tcPr>
            <w:tcW w:w="1134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Сынып ұжымына бейімделуінде қиындықтар бар</w:t>
            </w:r>
          </w:p>
        </w:tc>
        <w:tc>
          <w:tcPr>
            <w:tcW w:w="993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Бейімделуі жақсы</w:t>
            </w:r>
          </w:p>
        </w:tc>
        <w:tc>
          <w:tcPr>
            <w:tcW w:w="1134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Мұғалімнің маңыздылығы ерекше</w:t>
            </w:r>
          </w:p>
        </w:tc>
        <w:tc>
          <w:tcPr>
            <w:tcW w:w="992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Ойын позициясына</w:t>
            </w:r>
          </w:p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жақын</w:t>
            </w:r>
          </w:p>
        </w:tc>
        <w:tc>
          <w:tcPr>
            <w:tcW w:w="992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Сынып ұжымына бейімделуінде қиындықтар бар</w:t>
            </w:r>
          </w:p>
        </w:tc>
        <w:tc>
          <w:tcPr>
            <w:tcW w:w="992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Бейімделуі жақсы</w:t>
            </w:r>
          </w:p>
        </w:tc>
        <w:tc>
          <w:tcPr>
            <w:tcW w:w="993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Мұғалімнің маңыздылығы ерекше</w:t>
            </w:r>
          </w:p>
        </w:tc>
        <w:tc>
          <w:tcPr>
            <w:tcW w:w="850" w:type="dxa"/>
          </w:tcPr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Ойын позициясына</w:t>
            </w:r>
          </w:p>
          <w:p w:rsidR="004B7EE2" w:rsidRPr="00212E73" w:rsidRDefault="004B7EE2" w:rsidP="005F7076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12E73">
              <w:rPr>
                <w:rFonts w:ascii="Times New Roman" w:hAnsi="Times New Roman" w:cs="Times New Roman"/>
                <w:b/>
                <w:lang w:val="kk-KZ"/>
              </w:rPr>
              <w:t>жақын</w:t>
            </w: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Бейбитжанов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Санжар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2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Балтабек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3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Егимбаева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Еркежан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4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Есимбаева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E66195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5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Жапенова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Инкар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6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Болсынбек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Санжар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7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Абдирбай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8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Несипбай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Улагат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9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Онгарбекова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10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Орынтай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Сезим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11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Омирзак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Досымжан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12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D0FE4">
              <w:rPr>
                <w:rFonts w:ascii="Times New Roman" w:hAnsi="Times New Roman"/>
                <w:sz w:val="24"/>
                <w:szCs w:val="24"/>
              </w:rPr>
              <w:t xml:space="preserve">бек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Акерке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13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Есимсейтова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spacing w:line="276" w:lineRule="auto"/>
              <w:rPr>
                <w:lang w:val="kk-KZ"/>
              </w:rPr>
            </w:pPr>
            <w:r w:rsidRPr="00212E73">
              <w:rPr>
                <w:lang w:val="kk-KZ"/>
              </w:rPr>
              <w:t>14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Толеген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Айназ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Каусар</w:t>
            </w:r>
            <w:proofErr w:type="spellEnd"/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Эмирзада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Нұрдәулет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376" w:type="dxa"/>
          </w:tcPr>
          <w:p w:rsidR="004B7EE2" w:rsidRPr="00BD0FE4" w:rsidRDefault="004B7EE2" w:rsidP="004B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E4">
              <w:rPr>
                <w:rFonts w:ascii="Times New Roman" w:hAnsi="Times New Roman"/>
                <w:sz w:val="24"/>
                <w:szCs w:val="24"/>
              </w:rPr>
              <w:t>Эргаш</w:t>
            </w:r>
            <w:proofErr w:type="spellEnd"/>
            <w:r w:rsidRPr="00BD0FE4">
              <w:rPr>
                <w:rFonts w:ascii="Times New Roman" w:hAnsi="Times New Roman"/>
                <w:sz w:val="24"/>
                <w:szCs w:val="24"/>
              </w:rPr>
              <w:t xml:space="preserve"> Инкар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376" w:type="dxa"/>
          </w:tcPr>
          <w:p w:rsidR="004B7EE2" w:rsidRPr="00130386" w:rsidRDefault="004B7EE2" w:rsidP="004B7E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Косибаева Диана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376" w:type="dxa"/>
          </w:tcPr>
          <w:p w:rsidR="004B7EE2" w:rsidRPr="00090120" w:rsidRDefault="004B7EE2" w:rsidP="004B7E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Жұмабек Руслан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</w:tr>
      <w:tr w:rsidR="004B7EE2" w:rsidRPr="00212E73" w:rsidTr="00752D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</w:tcPr>
          <w:p w:rsidR="004B7EE2" w:rsidRPr="00212E73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376" w:type="dxa"/>
          </w:tcPr>
          <w:p w:rsidR="004B7EE2" w:rsidRPr="00090120" w:rsidRDefault="004B7EE2" w:rsidP="004B7E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Мубарак Расул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E66195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4B7EE2" w:rsidRPr="00212E73" w:rsidRDefault="004B7EE2" w:rsidP="00E6619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E66195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4B7EE2" w:rsidRPr="00212E73" w:rsidTr="00B3782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54" w:type="dxa"/>
          </w:tcPr>
          <w:p w:rsidR="004B7EE2" w:rsidRDefault="004B7EE2" w:rsidP="004B7EE2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376" w:type="dxa"/>
          </w:tcPr>
          <w:p w:rsidR="004B7EE2" w:rsidRPr="00090120" w:rsidRDefault="004B7EE2" w:rsidP="004B7E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Сапарбек Мадина</w:t>
            </w: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4B7EE2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B7EE2" w:rsidRPr="00212E73" w:rsidRDefault="004B7EE2" w:rsidP="004B7EE2">
            <w:pPr>
              <w:jc w:val="center"/>
              <w:rPr>
                <w:lang w:val="kk-KZ"/>
              </w:rPr>
            </w:pPr>
          </w:p>
        </w:tc>
      </w:tr>
    </w:tbl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2E73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  <w:r w:rsidR="00E66195">
        <w:rPr>
          <w:rFonts w:ascii="Times New Roman" w:hAnsi="Times New Roman" w:cs="Times New Roman"/>
          <w:sz w:val="24"/>
          <w:szCs w:val="24"/>
          <w:lang w:val="kk-KZ"/>
        </w:rPr>
        <w:t>: 1 тоқсан о</w:t>
      </w:r>
      <w:r>
        <w:rPr>
          <w:rFonts w:ascii="Times New Roman" w:hAnsi="Times New Roman" w:cs="Times New Roman"/>
          <w:sz w:val="24"/>
          <w:szCs w:val="24"/>
          <w:lang w:val="kk-KZ"/>
        </w:rPr>
        <w:t>қушылардың</w:t>
      </w:r>
      <w:r w:rsidR="00E66195">
        <w:rPr>
          <w:rFonts w:ascii="Times New Roman" w:hAnsi="Times New Roman" w:cs="Times New Roman"/>
          <w:sz w:val="24"/>
          <w:szCs w:val="24"/>
          <w:lang w:val="kk-KZ"/>
        </w:rPr>
        <w:t xml:space="preserve"> 71</w:t>
      </w:r>
      <w:r>
        <w:rPr>
          <w:rFonts w:ascii="Times New Roman" w:hAnsi="Times New Roman" w:cs="Times New Roman"/>
          <w:sz w:val="24"/>
          <w:szCs w:val="24"/>
          <w:lang w:val="kk-KZ"/>
        </w:rPr>
        <w:t>%-ы сыныпқа бейімделуі жақсы</w:t>
      </w:r>
      <w:r w:rsidR="00E66195">
        <w:rPr>
          <w:rFonts w:ascii="Times New Roman" w:hAnsi="Times New Roman" w:cs="Times New Roman"/>
          <w:sz w:val="24"/>
          <w:szCs w:val="24"/>
          <w:lang w:val="kk-KZ"/>
        </w:rPr>
        <w:t>, 28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%-ына мұғалімнің маңыздылығы ерекше, көбінесе ой</w:t>
      </w:r>
      <w:r w:rsidR="00E66195">
        <w:rPr>
          <w:rFonts w:ascii="Times New Roman" w:hAnsi="Times New Roman" w:cs="Times New Roman"/>
          <w:sz w:val="24"/>
          <w:szCs w:val="24"/>
          <w:lang w:val="kk-KZ"/>
        </w:rPr>
        <w:t>ын позициясына жақын оқушылар 23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 xml:space="preserve">%-ды құрайды, сынып ұжымына бейімделуінде қиындығы бар оқушы </w:t>
      </w:r>
      <w:r w:rsidR="00E66195"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  <w:lang w:val="kk-KZ"/>
        </w:rPr>
        <w:t>% ы құрайды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6195" w:rsidRPr="00212E73" w:rsidRDefault="00E66195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6195" w:rsidRPr="00212E73" w:rsidRDefault="00E66195" w:rsidP="00E661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тоқсан оқушылардың</w:t>
      </w:r>
      <w:r w:rsidR="00B37820">
        <w:rPr>
          <w:rFonts w:ascii="Times New Roman" w:hAnsi="Times New Roman" w:cs="Times New Roman"/>
          <w:sz w:val="24"/>
          <w:szCs w:val="24"/>
          <w:lang w:val="kk-KZ"/>
        </w:rPr>
        <w:t xml:space="preserve"> 66</w:t>
      </w:r>
      <w:r>
        <w:rPr>
          <w:rFonts w:ascii="Times New Roman" w:hAnsi="Times New Roman" w:cs="Times New Roman"/>
          <w:sz w:val="24"/>
          <w:szCs w:val="24"/>
          <w:lang w:val="kk-KZ"/>
        </w:rPr>
        <w:t>%-ы сыныпқа бейімделуі жақсы</w:t>
      </w:r>
      <w:r>
        <w:rPr>
          <w:rFonts w:ascii="Times New Roman" w:hAnsi="Times New Roman" w:cs="Times New Roman"/>
          <w:sz w:val="24"/>
          <w:szCs w:val="24"/>
          <w:lang w:val="kk-KZ"/>
        </w:rPr>
        <w:t>, 3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%-ына мұғалімнің маңыздылығы ерекше, көбінесе ой</w:t>
      </w:r>
      <w:r w:rsidR="00B37820">
        <w:rPr>
          <w:rFonts w:ascii="Times New Roman" w:hAnsi="Times New Roman" w:cs="Times New Roman"/>
          <w:sz w:val="24"/>
          <w:szCs w:val="24"/>
          <w:lang w:val="kk-KZ"/>
        </w:rPr>
        <w:t>ын позициясына жақын оқушылар 14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 xml:space="preserve">%-ды құрайды, сынып ұжымына бейімделуінде қиындығы бар оқушы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% ы құрайды</w:t>
      </w:r>
      <w:r w:rsidRPr="00212E7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6195" w:rsidRDefault="00E66195" w:rsidP="00E661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6195" w:rsidRPr="00212E73" w:rsidRDefault="00E66195" w:rsidP="00E661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36FEA" w:rsidRPr="00136FEA" w:rsidRDefault="00136FEA" w:rsidP="00136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FEA" w:rsidRPr="00136FEA" w:rsidRDefault="00136FEA" w:rsidP="00136F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F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«МЕКТЕПКЕ ҚАРЫМ-ҚАТЫНАСЫМ» САУАЛНАМА</w:t>
      </w:r>
    </w:p>
    <w:p w:rsidR="00136FEA" w:rsidRPr="00136FEA" w:rsidRDefault="00136FEA" w:rsidP="00136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EB9" w:rsidRDefault="00136FEA" w:rsidP="002F3EB9">
      <w:pPr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5а</w:t>
      </w:r>
      <w:r w:rsidR="004702C6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,5ә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 xml:space="preserve"> сынып</w:t>
      </w:r>
      <w:r w:rsidR="004702C6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тары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>: оқушыларға мектепке келіп оқыған ұнайды,</w:t>
      </w:r>
      <w:r w:rsidR="004702C6"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>сынып оқушыларымен оқып қарым қатынас жасаған ұнайды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>,</w:t>
      </w:r>
      <w:r w:rsidR="004702C6"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 xml:space="preserve"> бірақ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 xml:space="preserve"> </w:t>
      </w:r>
      <w:r w:rsidR="004702C6"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>оқу барысына қызығушылық төмен.</w:t>
      </w:r>
    </w:p>
    <w:p w:rsidR="004702C6" w:rsidRPr="00136FEA" w:rsidRDefault="004702C6" w:rsidP="002F3EB9">
      <w:pPr>
        <w:rPr>
          <w:lang w:val="kk-K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val="kk-KZ" w:eastAsia="ru-RU"/>
        </w:rPr>
        <w:t>Сыныпта кездесетін қиындықтар: сыныптан-сыныпқа ауысу, пәннің тақырыптарының қиындауы, көп тапсырма берілуі.</w:t>
      </w:r>
    </w:p>
    <w:p w:rsidR="002F3EB9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F3EB9" w:rsidRPr="00212E73" w:rsidRDefault="002F3EB9" w:rsidP="002F3E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702C6" w:rsidRDefault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Pr="004702C6" w:rsidRDefault="004702C6" w:rsidP="004702C6">
      <w:pPr>
        <w:rPr>
          <w:lang w:val="kk-KZ"/>
        </w:rPr>
      </w:pPr>
    </w:p>
    <w:p w:rsidR="004702C6" w:rsidRDefault="004702C6" w:rsidP="004702C6">
      <w:pPr>
        <w:rPr>
          <w:lang w:val="kk-KZ"/>
        </w:rPr>
      </w:pPr>
    </w:p>
    <w:p w:rsidR="002F3EB9" w:rsidRDefault="004702C6" w:rsidP="004702C6">
      <w:pPr>
        <w:tabs>
          <w:tab w:val="left" w:pos="4470"/>
        </w:tabs>
        <w:rPr>
          <w:lang w:val="kk-KZ"/>
        </w:rPr>
      </w:pPr>
      <w:r>
        <w:rPr>
          <w:lang w:val="kk-KZ"/>
        </w:rPr>
        <w:tab/>
      </w: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</w:pPr>
      <w:r w:rsidRPr="004702C6"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  <w:t>5А сынып оқушыларының пәнге қызығушылығы</w:t>
      </w:r>
    </w:p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val="kk-KZ"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842"/>
      </w:tblGrid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Қызыға оқимын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Бірқалыпты 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Ұнатпаймын 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Денешынықтыру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470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2126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4702C6" w:rsidRPr="004702C6" w:rsidRDefault="004702C6" w:rsidP="00470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</w:p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  <w:t>5Ә</w:t>
      </w:r>
      <w:r w:rsidRPr="004702C6"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  <w:t xml:space="preserve"> сынып оқушыларының пәнге қызығушылығы</w:t>
      </w:r>
    </w:p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val="kk-KZ"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842"/>
      </w:tblGrid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Қызыға оқимын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Бірқалыпты 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Ұнатпаймын 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Денешынықтыру </w:t>
            </w:r>
          </w:p>
        </w:tc>
        <w:tc>
          <w:tcPr>
            <w:tcW w:w="2126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702C6" w:rsidRPr="004702C6" w:rsidTr="005F7076">
        <w:tc>
          <w:tcPr>
            <w:tcW w:w="2093" w:type="dxa"/>
          </w:tcPr>
          <w:p w:rsidR="004702C6" w:rsidRPr="004702C6" w:rsidRDefault="004702C6" w:rsidP="005F7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2126" w:type="dxa"/>
          </w:tcPr>
          <w:p w:rsidR="004702C6" w:rsidRPr="004702C6" w:rsidRDefault="00D84A78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4702C6" w:rsidRPr="004702C6" w:rsidRDefault="004702C6" w:rsidP="005F7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4702C6" w:rsidRPr="004702C6" w:rsidRDefault="004702C6" w:rsidP="004702C6">
      <w:pPr>
        <w:spacing w:after="20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</w:p>
    <w:p w:rsidR="004702C6" w:rsidRPr="004702C6" w:rsidRDefault="004702C6" w:rsidP="004702C6">
      <w:pPr>
        <w:tabs>
          <w:tab w:val="left" w:pos="4470"/>
        </w:tabs>
        <w:rPr>
          <w:lang w:val="kk-KZ"/>
        </w:rPr>
      </w:pPr>
    </w:p>
    <w:p w:rsidR="004702C6" w:rsidRPr="004702C6" w:rsidRDefault="004702C6" w:rsidP="004702C6">
      <w:pPr>
        <w:tabs>
          <w:tab w:val="left" w:pos="4470"/>
        </w:tabs>
        <w:rPr>
          <w:lang w:val="kk-KZ"/>
        </w:rPr>
      </w:pPr>
    </w:p>
    <w:sectPr w:rsidR="004702C6" w:rsidRPr="004702C6" w:rsidSect="005C65B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6B" w:rsidRDefault="00E4316B" w:rsidP="002F3EB9">
      <w:pPr>
        <w:spacing w:after="0" w:line="240" w:lineRule="auto"/>
      </w:pPr>
      <w:r>
        <w:separator/>
      </w:r>
    </w:p>
  </w:endnote>
  <w:endnote w:type="continuationSeparator" w:id="0">
    <w:p w:rsidR="00E4316B" w:rsidRDefault="00E4316B" w:rsidP="002F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6B" w:rsidRDefault="00E4316B" w:rsidP="002F3EB9">
      <w:pPr>
        <w:spacing w:after="0" w:line="240" w:lineRule="auto"/>
      </w:pPr>
      <w:r>
        <w:separator/>
      </w:r>
    </w:p>
  </w:footnote>
  <w:footnote w:type="continuationSeparator" w:id="0">
    <w:p w:rsidR="00E4316B" w:rsidRDefault="00E4316B" w:rsidP="002F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ACD"/>
    <w:multiLevelType w:val="hybridMultilevel"/>
    <w:tmpl w:val="5756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28D"/>
    <w:multiLevelType w:val="hybridMultilevel"/>
    <w:tmpl w:val="5756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5DB0"/>
    <w:multiLevelType w:val="multilevel"/>
    <w:tmpl w:val="FEBE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9332C"/>
    <w:multiLevelType w:val="hybridMultilevel"/>
    <w:tmpl w:val="5756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C"/>
    <w:rsid w:val="00090120"/>
    <w:rsid w:val="00136FEA"/>
    <w:rsid w:val="002F3EB9"/>
    <w:rsid w:val="004702C6"/>
    <w:rsid w:val="004B7EE2"/>
    <w:rsid w:val="005C65BC"/>
    <w:rsid w:val="00720684"/>
    <w:rsid w:val="00A2504F"/>
    <w:rsid w:val="00AC19DE"/>
    <w:rsid w:val="00B37820"/>
    <w:rsid w:val="00D0050C"/>
    <w:rsid w:val="00D84A78"/>
    <w:rsid w:val="00E4316B"/>
    <w:rsid w:val="00E66195"/>
    <w:rsid w:val="00E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1FD9-A76B-4969-B370-E7AE36B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20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012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EB9"/>
  </w:style>
  <w:style w:type="paragraph" w:styleId="a7">
    <w:name w:val="footer"/>
    <w:basedOn w:val="a"/>
    <w:link w:val="a8"/>
    <w:uiPriority w:val="99"/>
    <w:unhideWhenUsed/>
    <w:rsid w:val="002F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EB9"/>
  </w:style>
  <w:style w:type="table" w:customStyle="1" w:styleId="1">
    <w:name w:val="Сетка таблицы1"/>
    <w:basedOn w:val="a1"/>
    <w:next w:val="a3"/>
    <w:uiPriority w:val="59"/>
    <w:rsid w:val="002F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02C6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2022-12-07T05:18:00Z</dcterms:created>
  <dcterms:modified xsi:type="dcterms:W3CDTF">2022-12-07T07:10:00Z</dcterms:modified>
</cp:coreProperties>
</file>