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18.01.2020 seminar "System-activity approach –the basis of the modern lesson".</w:t>
      </w:r>
      <w:proofErr w:type="gramEnd"/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Goals: 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* expand the concept of system-activity approach in training;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* demonstrate to the seminar participants the use of active learning methods in the implementation of the system-activity approach in the classroom.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Equipment: interactive whiteboard, presentation, handout.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Success criterion: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- know the concept of system-activity approach;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proofErr w:type="gramEnd"/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able to use AMO in the implementation of the system-activity approach in the classroom.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Target audience: teachers of OSH #1.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Course of the seminar.</w:t>
      </w:r>
      <w:proofErr w:type="gramEnd"/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I. Psychological mood. Circle of joy "Tell me your mood".  Novichenko G. A.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Participants stand in a circle, the right hand resting on the left hand of the neighbor on the right. </w:t>
      </w:r>
      <w:proofErr w:type="gramStart"/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Slapping the right hand on the right hand of the neighbor on the left "conveys the mood" with comments and wishes.</w:t>
      </w:r>
      <w:proofErr w:type="gramEnd"/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ab/>
        <w:t>Presentation. Message "System-activity approach-the basis of the modern lesson".  Sourikova R. H.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ab/>
        <w:t>Work in groups. Groups are formed according to methodological associations. Polozova M. G.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The theme of "problem solving".</w:t>
      </w:r>
      <w:proofErr w:type="gramEnd"/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Listen to groups ' presentations.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ab/>
        <w:t>Presentation "application of AMO for implementation of system-activity approach". Klementieva O. S.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V. Reflection. «Ladder of success». Novichenko G. A.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Conducted workshop: teachers EMN, head Sourikova R. H.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Message "System-activity approach-the basis of the modern lesson".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The activity approach is the implementation of the educational process, in which the main place is given to the active, versatile, cognitive, independent activity of the student.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The system-activity approach develops the following key competencies of students: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* Ready to solve problems;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* Readiness for social interaction;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* Communicative competence;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•</w:t>
      </w: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ab/>
        <w:t>Technological competence;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* Readiness for self-education;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* Readiness to use information resources.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The activity approach is implemented through: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07C7B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modeling and analysis of life situations in the classroom;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</w:rPr>
        <w:t></w:t>
      </w: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use of active and interactive methods;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</w:rPr>
        <w:t></w:t>
      </w: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Participation in research and project activities;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</w:rPr>
        <w:t></w:t>
      </w: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Engaging students in reflexive activities.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Active learning methods are based on an activity approach.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Active learning methods are methods that encourage students to engage in active thinking and practical activities in the process of mastering educational material.</w:t>
      </w:r>
    </w:p>
    <w:p w:rsidR="00F07C7B" w:rsidRPr="00F07C7B" w:rsidRDefault="00F07C7B" w:rsidP="00F07C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Active learning involves the use of such a system of methods, which is aimed at self-mastery of students ' knowledge and skills in the process of active thinking and practical activities.</w:t>
      </w:r>
    </w:p>
    <w:p w:rsidR="00EC6198" w:rsidRPr="00F07C7B" w:rsidRDefault="00F07C7B" w:rsidP="00F07C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7C7B">
        <w:rPr>
          <w:rFonts w:ascii="Times New Roman" w:hAnsi="Times New Roman" w:cs="Times New Roman"/>
          <w:b/>
          <w:sz w:val="28"/>
          <w:szCs w:val="28"/>
          <w:lang w:val="en-US"/>
        </w:rPr>
        <w:t>Active learning methods are a way for teachers and students to work together to achieve goals.</w:t>
      </w:r>
      <w:r w:rsidR="001F6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5199" cy="2113472"/>
            <wp:effectExtent l="19050" t="0" r="5751" b="0"/>
            <wp:docPr id="1" name="Рисунок 1" descr="C:\Users\USER\Desktop\МО 2019-2020\IMG-20200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 2019-2020\IMG-20200118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99" cy="211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A4" w:rsidRPr="00F07C7B" w:rsidRDefault="001F6DA4" w:rsidP="00F32E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DA4" w:rsidRDefault="001F6DA4" w:rsidP="00F3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2067" cy="2113472"/>
            <wp:effectExtent l="19050" t="0" r="0" b="0"/>
            <wp:docPr id="6" name="Рисунок 2" descr="C:\Users\USER\Desktop\МО 2019-2020\IMG-20200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 2019-2020\IMG-20200118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211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A4" w:rsidRDefault="001F6DA4" w:rsidP="00F32E1E">
      <w:pPr>
        <w:rPr>
          <w:rFonts w:ascii="Times New Roman" w:hAnsi="Times New Roman" w:cs="Times New Roman"/>
          <w:sz w:val="28"/>
          <w:szCs w:val="28"/>
        </w:rPr>
      </w:pPr>
    </w:p>
    <w:p w:rsidR="001F6DA4" w:rsidRDefault="001F6DA4" w:rsidP="00F32E1E">
      <w:pPr>
        <w:rPr>
          <w:rFonts w:ascii="Times New Roman" w:hAnsi="Times New Roman" w:cs="Times New Roman"/>
          <w:sz w:val="28"/>
          <w:szCs w:val="28"/>
        </w:rPr>
      </w:pPr>
    </w:p>
    <w:p w:rsidR="001F6DA4" w:rsidRPr="00F32E1E" w:rsidRDefault="001F6DA4" w:rsidP="00F3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9107" cy="3450566"/>
            <wp:effectExtent l="19050" t="0" r="5393" b="0"/>
            <wp:docPr id="8" name="Рисунок 3" descr="C:\Users\USER\Desktop\МО 2019-2020\IMG-202001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 2019-2020\IMG-20200118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518" b="2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10" cy="345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DA4" w:rsidRPr="00F32E1E" w:rsidSect="006F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A9B"/>
    <w:multiLevelType w:val="hybridMultilevel"/>
    <w:tmpl w:val="1EF2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5AA9"/>
    <w:multiLevelType w:val="hybridMultilevel"/>
    <w:tmpl w:val="57EC4A86"/>
    <w:lvl w:ilvl="0" w:tplc="D86AE09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8E3268"/>
    <w:multiLevelType w:val="hybridMultilevel"/>
    <w:tmpl w:val="EC8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5330"/>
    <w:multiLevelType w:val="hybridMultilevel"/>
    <w:tmpl w:val="322AF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743EC"/>
    <w:rsid w:val="001743EC"/>
    <w:rsid w:val="001F6DA4"/>
    <w:rsid w:val="004E7385"/>
    <w:rsid w:val="006000DF"/>
    <w:rsid w:val="006F6FBB"/>
    <w:rsid w:val="00EB4C90"/>
    <w:rsid w:val="00EC6198"/>
    <w:rsid w:val="00F07C7B"/>
    <w:rsid w:val="00F3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2020-02-27T11:33:00Z</dcterms:created>
  <dcterms:modified xsi:type="dcterms:W3CDTF">2020-02-27T11:33:00Z</dcterms:modified>
</cp:coreProperties>
</file>